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94919" w14:textId="6E86287A" w:rsidR="00300E10" w:rsidRPr="00300E10" w:rsidRDefault="00300E10" w:rsidP="00300E10">
      <w:pPr>
        <w:spacing w:beforeLines="100" w:before="240" w:afterLines="100" w:after="240" w:line="320" w:lineRule="exact"/>
        <w:rPr>
          <w:rFonts w:ascii="Arial" w:hAnsi="Arial" w:cs="Arial"/>
          <w:u w:val="single"/>
        </w:rPr>
      </w:pPr>
      <w:r w:rsidRPr="00300E10">
        <w:rPr>
          <w:rFonts w:ascii="Arial" w:hAnsi="Arial" w:cs="Arial"/>
          <w:u w:val="single"/>
        </w:rPr>
        <w:t>Learning disability PCN DES IIF 25/26 Requirements</w:t>
      </w:r>
    </w:p>
    <w:p w14:paraId="14DDBA40" w14:textId="18DF8851" w:rsidR="002577E8" w:rsidRPr="00300E10" w:rsidRDefault="00300E10" w:rsidP="00300E10">
      <w:pPr>
        <w:spacing w:beforeLines="100" w:before="240" w:afterLines="100" w:after="240" w:line="320" w:lineRule="exact"/>
        <w:rPr>
          <w:rFonts w:ascii="Arial" w:hAnsi="Arial" w:cs="Arial"/>
        </w:rPr>
      </w:pPr>
      <w:r w:rsidRPr="00300E10">
        <w:rPr>
          <w:rFonts w:ascii="Arial" w:hAnsi="Arial" w:cs="Arial"/>
        </w:rPr>
        <w:t xml:space="preserve">Every patient on the GP learning disability register age 14y and older should be offered a learning disability annual health check as outlined in the </w:t>
      </w:r>
      <w:hyperlink r:id="rId5" w:history="1">
        <w:r w:rsidR="002577E8" w:rsidRPr="00300E10">
          <w:rPr>
            <w:rStyle w:val="Hyperlink"/>
            <w:rFonts w:ascii="Arial" w:hAnsi="Arial" w:cs="Arial"/>
          </w:rPr>
          <w:t>network-contract-DES-contract-contract-specification-2025-26.pdf</w:t>
        </w:r>
      </w:hyperlink>
      <w:r>
        <w:rPr>
          <w:rFonts w:ascii="Arial" w:hAnsi="Arial" w:cs="Arial"/>
        </w:rPr>
        <w:t>.</w:t>
      </w:r>
    </w:p>
    <w:p w14:paraId="1F60F24F" w14:textId="76EF9153" w:rsidR="002577E8" w:rsidRPr="00300E10" w:rsidRDefault="002577E8" w:rsidP="00300E10">
      <w:pPr>
        <w:spacing w:beforeLines="100" w:before="240" w:afterLines="100" w:after="240" w:line="320" w:lineRule="exact"/>
        <w:rPr>
          <w:rFonts w:ascii="Arial" w:hAnsi="Arial" w:cs="Arial"/>
        </w:rPr>
      </w:pPr>
      <w:r w:rsidRPr="00300E10">
        <w:rPr>
          <w:rFonts w:ascii="Arial" w:hAnsi="Arial" w:cs="Arial"/>
        </w:rPr>
        <w:t>The DES</w:t>
      </w:r>
      <w:r w:rsidR="00300E10" w:rsidRPr="00300E10">
        <w:rPr>
          <w:rFonts w:ascii="Arial" w:hAnsi="Arial" w:cs="Arial"/>
        </w:rPr>
        <w:t xml:space="preserve"> minimum</w:t>
      </w:r>
      <w:r w:rsidRPr="00300E10">
        <w:rPr>
          <w:rFonts w:ascii="Arial" w:hAnsi="Arial" w:cs="Arial"/>
        </w:rPr>
        <w:t xml:space="preserve"> requirements for learning disability annual health checks are summarised in the </w:t>
      </w:r>
      <w:hyperlink r:id="rId6" w:history="1">
        <w:proofErr w:type="spellStart"/>
        <w:r w:rsidRPr="00300E10">
          <w:rPr>
            <w:rStyle w:val="Hyperlink"/>
            <w:rFonts w:ascii="Arial" w:hAnsi="Arial" w:cs="Arial"/>
          </w:rPr>
          <w:t>The</w:t>
        </w:r>
        <w:proofErr w:type="spellEnd"/>
        <w:r w:rsidRPr="00300E10">
          <w:rPr>
            <w:rStyle w:val="Hyperlink"/>
            <w:rFonts w:ascii="Arial" w:hAnsi="Arial" w:cs="Arial"/>
          </w:rPr>
          <w:t xml:space="preserve"> Primary Medical Services (Directed Enhanced Services) Directions 2025</w:t>
        </w:r>
      </w:hyperlink>
    </w:p>
    <w:p w14:paraId="0DA1015F" w14:textId="0F2DF0C6" w:rsidR="002577E8" w:rsidRPr="00300E10" w:rsidRDefault="00300E10" w:rsidP="00300E10">
      <w:pPr>
        <w:spacing w:beforeLines="100" w:before="240" w:afterLines="100" w:after="240" w:line="320" w:lineRule="exact"/>
        <w:rPr>
          <w:rFonts w:ascii="Arial" w:hAnsi="Arial" w:cs="Arial"/>
        </w:rPr>
      </w:pPr>
      <w:r w:rsidRPr="00300E10">
        <w:rPr>
          <w:rFonts w:ascii="Arial" w:hAnsi="Arial" w:cs="Arial"/>
        </w:rPr>
        <w:t>This includes:</w:t>
      </w:r>
    </w:p>
    <w:p w14:paraId="01655E69" w14:textId="2567E493" w:rsidR="00300E10" w:rsidRPr="00300E10" w:rsidRDefault="00300E10" w:rsidP="00300E10">
      <w:pPr>
        <w:pStyle w:val="ListParagraph"/>
        <w:numPr>
          <w:ilvl w:val="0"/>
          <w:numId w:val="1"/>
        </w:numPr>
        <w:spacing w:beforeLines="100" w:before="240" w:afterLines="100" w:after="240" w:line="320" w:lineRule="exact"/>
        <w:rPr>
          <w:rFonts w:ascii="Arial" w:hAnsi="Arial" w:cs="Arial"/>
        </w:rPr>
      </w:pPr>
      <w:r w:rsidRPr="00300E10">
        <w:rPr>
          <w:rFonts w:ascii="Arial" w:hAnsi="Arial" w:cs="Arial"/>
        </w:rPr>
        <w:t>The offer of an annual health check to every patient on the practice register age 14 and older</w:t>
      </w:r>
    </w:p>
    <w:p w14:paraId="1EC5C200" w14:textId="4F72FB33" w:rsidR="002577E8" w:rsidRPr="00300E10" w:rsidRDefault="00300E10" w:rsidP="00300E10">
      <w:pPr>
        <w:pStyle w:val="ListParagraph"/>
        <w:numPr>
          <w:ilvl w:val="0"/>
          <w:numId w:val="1"/>
        </w:numPr>
        <w:spacing w:beforeLines="100" w:before="240" w:afterLines="100" w:after="240" w:line="320" w:lineRule="exact"/>
        <w:rPr>
          <w:rFonts w:ascii="Arial" w:hAnsi="Arial" w:cs="Arial"/>
        </w:rPr>
      </w:pPr>
      <w:r w:rsidRPr="00300E10">
        <w:rPr>
          <w:rFonts w:ascii="Arial" w:hAnsi="Arial" w:cs="Arial"/>
        </w:rPr>
        <w:t>P</w:t>
      </w:r>
      <w:r w:rsidR="002577E8" w:rsidRPr="00300E10">
        <w:rPr>
          <w:rFonts w:ascii="Arial" w:hAnsi="Arial" w:cs="Arial"/>
        </w:rPr>
        <w:t>rovision of relevant health promotion advice</w:t>
      </w:r>
    </w:p>
    <w:p w14:paraId="081A0820" w14:textId="055286C6" w:rsidR="002577E8" w:rsidRPr="00300E10" w:rsidRDefault="00300E10" w:rsidP="00300E10">
      <w:pPr>
        <w:pStyle w:val="ListParagraph"/>
        <w:numPr>
          <w:ilvl w:val="0"/>
          <w:numId w:val="1"/>
        </w:numPr>
        <w:spacing w:beforeLines="100" w:before="240" w:afterLines="100" w:after="240" w:line="320" w:lineRule="exact"/>
        <w:rPr>
          <w:rFonts w:ascii="Arial" w:hAnsi="Arial" w:cs="Arial"/>
        </w:rPr>
      </w:pPr>
      <w:r w:rsidRPr="00300E10">
        <w:rPr>
          <w:rFonts w:ascii="Arial" w:hAnsi="Arial" w:cs="Arial"/>
        </w:rPr>
        <w:t>A</w:t>
      </w:r>
      <w:r w:rsidR="002577E8" w:rsidRPr="00300E10">
        <w:rPr>
          <w:rFonts w:ascii="Arial" w:hAnsi="Arial" w:cs="Arial"/>
        </w:rPr>
        <w:t xml:space="preserve"> chronic illness and system enquiry</w:t>
      </w:r>
      <w:r w:rsidR="002577E8" w:rsidRPr="00300E10">
        <w:rPr>
          <w:rFonts w:ascii="Arial" w:hAnsi="Arial" w:cs="Arial"/>
        </w:rPr>
        <w:t xml:space="preserve"> (a check of respiratory, cardiovascular and other systems even if they not currently present as a health problem)</w:t>
      </w:r>
    </w:p>
    <w:p w14:paraId="7FC3683D" w14:textId="57ECA51C" w:rsidR="002577E8" w:rsidRPr="00300E10" w:rsidRDefault="00300E10" w:rsidP="00300E10">
      <w:pPr>
        <w:pStyle w:val="ListParagraph"/>
        <w:numPr>
          <w:ilvl w:val="0"/>
          <w:numId w:val="1"/>
        </w:numPr>
        <w:spacing w:beforeLines="100" w:before="240" w:afterLines="100" w:after="240" w:line="320" w:lineRule="exact"/>
        <w:rPr>
          <w:rFonts w:ascii="Arial" w:hAnsi="Arial" w:cs="Arial"/>
        </w:rPr>
      </w:pPr>
      <w:r w:rsidRPr="00300E10">
        <w:rPr>
          <w:rFonts w:ascii="Arial" w:hAnsi="Arial" w:cs="Arial"/>
        </w:rPr>
        <w:t>A</w:t>
      </w:r>
      <w:r w:rsidR="002577E8" w:rsidRPr="00300E10">
        <w:rPr>
          <w:rFonts w:ascii="Arial" w:hAnsi="Arial" w:cs="Arial"/>
        </w:rPr>
        <w:t xml:space="preserve"> physical examination</w:t>
      </w:r>
    </w:p>
    <w:p w14:paraId="585997D2" w14:textId="50D07755" w:rsidR="002577E8" w:rsidRPr="00300E10" w:rsidRDefault="00300E10" w:rsidP="00300E10">
      <w:pPr>
        <w:pStyle w:val="ListParagraph"/>
        <w:numPr>
          <w:ilvl w:val="0"/>
          <w:numId w:val="1"/>
        </w:numPr>
        <w:spacing w:beforeLines="100" w:before="240" w:afterLines="100" w:after="240" w:line="320" w:lineRule="exact"/>
        <w:rPr>
          <w:rFonts w:ascii="Arial" w:hAnsi="Arial" w:cs="Arial"/>
        </w:rPr>
      </w:pPr>
      <w:r w:rsidRPr="00300E10">
        <w:rPr>
          <w:rFonts w:ascii="Arial" w:hAnsi="Arial" w:cs="Arial"/>
        </w:rPr>
        <w:t>A</w:t>
      </w:r>
      <w:r w:rsidR="002577E8" w:rsidRPr="00300E10">
        <w:rPr>
          <w:rFonts w:ascii="Arial" w:hAnsi="Arial" w:cs="Arial"/>
        </w:rPr>
        <w:t xml:space="preserve"> consideration of whether the patient suffers from epilepsy</w:t>
      </w:r>
    </w:p>
    <w:p w14:paraId="7E7CA7DC" w14:textId="730EDF57" w:rsidR="002577E8" w:rsidRPr="00300E10" w:rsidRDefault="00300E10" w:rsidP="00300E10">
      <w:pPr>
        <w:pStyle w:val="ListParagraph"/>
        <w:numPr>
          <w:ilvl w:val="0"/>
          <w:numId w:val="1"/>
        </w:numPr>
        <w:spacing w:beforeLines="100" w:before="240" w:afterLines="100" w:after="240" w:line="320" w:lineRule="exact"/>
        <w:rPr>
          <w:rFonts w:ascii="Arial" w:hAnsi="Arial" w:cs="Arial"/>
        </w:rPr>
      </w:pPr>
      <w:r w:rsidRPr="00300E10">
        <w:rPr>
          <w:rFonts w:ascii="Arial" w:hAnsi="Arial" w:cs="Arial"/>
        </w:rPr>
        <w:t>C</w:t>
      </w:r>
      <w:r w:rsidR="002577E8" w:rsidRPr="00300E10">
        <w:rPr>
          <w:rFonts w:ascii="Arial" w:hAnsi="Arial" w:cs="Arial"/>
        </w:rPr>
        <w:t>onsideration of the patient’s behaviour and mental health</w:t>
      </w:r>
    </w:p>
    <w:p w14:paraId="282CE3F3" w14:textId="011F4BC8" w:rsidR="002577E8" w:rsidRPr="00300E10" w:rsidRDefault="00300E10" w:rsidP="00300E10">
      <w:pPr>
        <w:pStyle w:val="ListParagraph"/>
        <w:numPr>
          <w:ilvl w:val="0"/>
          <w:numId w:val="1"/>
        </w:numPr>
        <w:spacing w:beforeLines="100" w:before="240" w:afterLines="100" w:after="240" w:line="320" w:lineRule="exact"/>
        <w:rPr>
          <w:rFonts w:ascii="Arial" w:hAnsi="Arial" w:cs="Arial"/>
        </w:rPr>
      </w:pPr>
      <w:r w:rsidRPr="00300E10">
        <w:rPr>
          <w:rFonts w:ascii="Arial" w:hAnsi="Arial" w:cs="Arial"/>
        </w:rPr>
        <w:t>A</w:t>
      </w:r>
      <w:r w:rsidR="002577E8" w:rsidRPr="00300E10">
        <w:rPr>
          <w:rFonts w:ascii="Arial" w:hAnsi="Arial" w:cs="Arial"/>
        </w:rPr>
        <w:t xml:space="preserve"> specific syndrome check</w:t>
      </w:r>
    </w:p>
    <w:p w14:paraId="55D0A1D1" w14:textId="3EDD769B" w:rsidR="002577E8" w:rsidRPr="00300E10" w:rsidRDefault="002577E8" w:rsidP="00300E10">
      <w:pPr>
        <w:pStyle w:val="ListParagraph"/>
        <w:numPr>
          <w:ilvl w:val="0"/>
          <w:numId w:val="1"/>
        </w:numPr>
        <w:spacing w:beforeLines="100" w:before="240" w:afterLines="100" w:after="240" w:line="320" w:lineRule="exact"/>
        <w:rPr>
          <w:rFonts w:ascii="Arial" w:hAnsi="Arial" w:cs="Arial"/>
        </w:rPr>
      </w:pPr>
      <w:r w:rsidRPr="00300E10">
        <w:rPr>
          <w:rFonts w:ascii="Arial" w:hAnsi="Arial" w:cs="Arial"/>
        </w:rPr>
        <w:t xml:space="preserve"> </w:t>
      </w:r>
      <w:r w:rsidR="00300E10" w:rsidRPr="00300E10">
        <w:rPr>
          <w:rFonts w:ascii="Arial" w:hAnsi="Arial" w:cs="Arial"/>
        </w:rPr>
        <w:t>T</w:t>
      </w:r>
      <w:r w:rsidRPr="00300E10">
        <w:rPr>
          <w:rFonts w:ascii="Arial" w:hAnsi="Arial" w:cs="Arial"/>
        </w:rPr>
        <w:t xml:space="preserve">he production of a health action plan </w:t>
      </w:r>
    </w:p>
    <w:p w14:paraId="1AD5CD97" w14:textId="35A8BA16" w:rsidR="002577E8" w:rsidRPr="00300E10" w:rsidRDefault="002577E8" w:rsidP="00300E10">
      <w:pPr>
        <w:pStyle w:val="ListParagraph"/>
        <w:numPr>
          <w:ilvl w:val="0"/>
          <w:numId w:val="1"/>
        </w:numPr>
        <w:spacing w:beforeLines="100" w:before="240" w:afterLines="100" w:after="240" w:line="320" w:lineRule="exact"/>
        <w:rPr>
          <w:rFonts w:ascii="Arial" w:hAnsi="Arial" w:cs="Arial"/>
        </w:rPr>
      </w:pPr>
      <w:r w:rsidRPr="00300E10">
        <w:rPr>
          <w:rFonts w:ascii="Arial" w:hAnsi="Arial" w:cs="Arial"/>
        </w:rPr>
        <w:t xml:space="preserve"> </w:t>
      </w:r>
      <w:r w:rsidR="00300E10" w:rsidRPr="00300E10">
        <w:rPr>
          <w:rFonts w:ascii="Arial" w:hAnsi="Arial" w:cs="Arial"/>
        </w:rPr>
        <w:t>A</w:t>
      </w:r>
      <w:r w:rsidRPr="00300E10">
        <w:rPr>
          <w:rFonts w:ascii="Arial" w:hAnsi="Arial" w:cs="Arial"/>
        </w:rPr>
        <w:t xml:space="preserve"> check on the appropriateness of any prescribed medicines</w:t>
      </w:r>
    </w:p>
    <w:p w14:paraId="0AE58812" w14:textId="4C8E0C7C" w:rsidR="002577E8" w:rsidRPr="00300E10" w:rsidRDefault="002577E8" w:rsidP="00300E10">
      <w:pPr>
        <w:pStyle w:val="ListParagraph"/>
        <w:numPr>
          <w:ilvl w:val="0"/>
          <w:numId w:val="1"/>
        </w:numPr>
        <w:spacing w:beforeLines="100" w:before="240" w:afterLines="100" w:after="240" w:line="320" w:lineRule="exact"/>
        <w:rPr>
          <w:rFonts w:ascii="Arial" w:hAnsi="Arial" w:cs="Arial"/>
        </w:rPr>
      </w:pPr>
      <w:r w:rsidRPr="00300E10">
        <w:rPr>
          <w:rFonts w:ascii="Arial" w:hAnsi="Arial" w:cs="Arial"/>
        </w:rPr>
        <w:t xml:space="preserve"> </w:t>
      </w:r>
      <w:r w:rsidR="00300E10" w:rsidRPr="00300E10">
        <w:rPr>
          <w:rFonts w:ascii="Arial" w:hAnsi="Arial" w:cs="Arial"/>
        </w:rPr>
        <w:t>A</w:t>
      </w:r>
      <w:r w:rsidRPr="00300E10">
        <w:rPr>
          <w:rFonts w:ascii="Arial" w:hAnsi="Arial" w:cs="Arial"/>
        </w:rPr>
        <w:t xml:space="preserve"> review of coordination arrangements with secondary care</w:t>
      </w:r>
    </w:p>
    <w:p w14:paraId="49C940AB" w14:textId="0E17BABA" w:rsidR="002577E8" w:rsidRPr="00300E10" w:rsidRDefault="002577E8" w:rsidP="00300E10">
      <w:pPr>
        <w:pStyle w:val="ListParagraph"/>
        <w:numPr>
          <w:ilvl w:val="0"/>
          <w:numId w:val="1"/>
        </w:numPr>
        <w:spacing w:beforeLines="100" w:before="240" w:afterLines="100" w:after="240" w:line="320" w:lineRule="exact"/>
        <w:rPr>
          <w:rFonts w:ascii="Arial" w:hAnsi="Arial" w:cs="Arial"/>
        </w:rPr>
      </w:pPr>
      <w:r w:rsidRPr="00300E10">
        <w:rPr>
          <w:rFonts w:ascii="Arial" w:hAnsi="Arial" w:cs="Arial"/>
        </w:rPr>
        <w:t xml:space="preserve"> </w:t>
      </w:r>
      <w:r w:rsidR="00300E10" w:rsidRPr="00300E10">
        <w:rPr>
          <w:rFonts w:ascii="Arial" w:hAnsi="Arial" w:cs="Arial"/>
        </w:rPr>
        <w:t>A</w:t>
      </w:r>
      <w:r w:rsidRPr="00300E10">
        <w:rPr>
          <w:rFonts w:ascii="Arial" w:hAnsi="Arial" w:cs="Arial"/>
        </w:rPr>
        <w:t xml:space="preserve"> review of any transitional arrangements </w:t>
      </w:r>
      <w:proofErr w:type="gramStart"/>
      <w:r w:rsidRPr="00300E10">
        <w:rPr>
          <w:rFonts w:ascii="Arial" w:hAnsi="Arial" w:cs="Arial"/>
        </w:rPr>
        <w:t>( where</w:t>
      </w:r>
      <w:proofErr w:type="gramEnd"/>
      <w:r w:rsidRPr="00300E10">
        <w:rPr>
          <w:rFonts w:ascii="Arial" w:hAnsi="Arial" w:cs="Arial"/>
        </w:rPr>
        <w:t xml:space="preserve"> appropriate)</w:t>
      </w:r>
    </w:p>
    <w:p w14:paraId="39843354" w14:textId="77777777" w:rsidR="002577E8" w:rsidRPr="00300E10" w:rsidRDefault="002577E8" w:rsidP="00300E10">
      <w:pPr>
        <w:spacing w:beforeLines="100" w:before="240" w:afterLines="100" w:after="240" w:line="320" w:lineRule="exact"/>
        <w:ind w:left="360"/>
        <w:rPr>
          <w:rFonts w:ascii="Arial" w:hAnsi="Arial" w:cs="Arial"/>
        </w:rPr>
      </w:pPr>
    </w:p>
    <w:p w14:paraId="46884A43" w14:textId="77777777" w:rsidR="00300E10" w:rsidRPr="00300E10" w:rsidRDefault="002577E8" w:rsidP="00300E10">
      <w:pPr>
        <w:spacing w:beforeLines="100" w:before="240" w:afterLines="100" w:after="240" w:line="320" w:lineRule="exact"/>
        <w:ind w:left="360"/>
        <w:rPr>
          <w:rFonts w:ascii="Arial" w:hAnsi="Arial" w:cs="Arial"/>
        </w:rPr>
      </w:pPr>
      <w:r w:rsidRPr="00300E10">
        <w:rPr>
          <w:rFonts w:ascii="Arial" w:hAnsi="Arial" w:cs="Arial"/>
        </w:rPr>
        <w:t xml:space="preserve">An appropriate </w:t>
      </w:r>
      <w:proofErr w:type="spellStart"/>
      <w:r w:rsidR="00300E10" w:rsidRPr="00300E10">
        <w:rPr>
          <w:rFonts w:ascii="Arial" w:hAnsi="Arial" w:cs="Arial"/>
        </w:rPr>
        <w:t>emis</w:t>
      </w:r>
      <w:proofErr w:type="spellEnd"/>
      <w:r w:rsidR="00300E10" w:rsidRPr="00300E10">
        <w:rPr>
          <w:rFonts w:ascii="Arial" w:hAnsi="Arial" w:cs="Arial"/>
        </w:rPr>
        <w:t xml:space="preserve"> </w:t>
      </w:r>
      <w:r w:rsidRPr="00300E10">
        <w:rPr>
          <w:rFonts w:ascii="Arial" w:hAnsi="Arial" w:cs="Arial"/>
        </w:rPr>
        <w:t>template needs to be use</w:t>
      </w:r>
      <w:r w:rsidR="00300E10" w:rsidRPr="00300E10">
        <w:rPr>
          <w:rFonts w:ascii="Arial" w:hAnsi="Arial" w:cs="Arial"/>
        </w:rPr>
        <w:t>.</w:t>
      </w:r>
    </w:p>
    <w:p w14:paraId="6AD81997" w14:textId="7D1B045D" w:rsidR="002577E8" w:rsidRPr="00300E10" w:rsidRDefault="00300E10" w:rsidP="00300E10">
      <w:pPr>
        <w:spacing w:beforeLines="100" w:before="240" w:afterLines="100" w:after="240" w:line="320" w:lineRule="exact"/>
        <w:ind w:left="360"/>
        <w:rPr>
          <w:rFonts w:ascii="Arial" w:hAnsi="Arial" w:cs="Arial"/>
        </w:rPr>
      </w:pPr>
      <w:r w:rsidRPr="00300E10">
        <w:rPr>
          <w:rFonts w:ascii="Arial" w:hAnsi="Arial" w:cs="Arial"/>
        </w:rPr>
        <w:t xml:space="preserve">Any </w:t>
      </w:r>
      <w:r w:rsidR="002577E8" w:rsidRPr="00300E10">
        <w:rPr>
          <w:rFonts w:ascii="Arial" w:hAnsi="Arial" w:cs="Arial"/>
        </w:rPr>
        <w:t>staff</w:t>
      </w:r>
      <w:r w:rsidRPr="00300E10">
        <w:rPr>
          <w:rFonts w:ascii="Arial" w:hAnsi="Arial" w:cs="Arial"/>
        </w:rPr>
        <w:t xml:space="preserve"> involved in the annual health checks</w:t>
      </w:r>
      <w:r w:rsidR="002577E8" w:rsidRPr="00300E10">
        <w:rPr>
          <w:rFonts w:ascii="Arial" w:hAnsi="Arial" w:cs="Arial"/>
        </w:rPr>
        <w:t xml:space="preserve"> needs to have received training</w:t>
      </w:r>
      <w:r w:rsidRPr="00300E10">
        <w:rPr>
          <w:rFonts w:ascii="Arial" w:hAnsi="Arial" w:cs="Arial"/>
        </w:rPr>
        <w:t>.</w:t>
      </w:r>
    </w:p>
    <w:p w14:paraId="474B9DC8" w14:textId="6CE42EB0" w:rsidR="00300E10" w:rsidRPr="00300E10" w:rsidRDefault="00300E10" w:rsidP="00300E10">
      <w:pPr>
        <w:spacing w:beforeLines="100" w:before="240" w:afterLines="100" w:after="240" w:line="320" w:lineRule="exact"/>
        <w:ind w:left="360"/>
        <w:rPr>
          <w:rFonts w:ascii="Arial" w:hAnsi="Arial" w:cs="Arial"/>
          <w:u w:val="single"/>
        </w:rPr>
      </w:pPr>
      <w:r w:rsidRPr="00300E10">
        <w:rPr>
          <w:rFonts w:ascii="Arial" w:hAnsi="Arial" w:cs="Arial"/>
          <w:u w:val="single"/>
        </w:rPr>
        <w:t>Decline codes</w:t>
      </w:r>
    </w:p>
    <w:p w14:paraId="7FB83AA5" w14:textId="1B6BF4FD" w:rsidR="00300E10" w:rsidRPr="00300E10" w:rsidRDefault="00300E10" w:rsidP="00300E10">
      <w:pPr>
        <w:spacing w:beforeLines="100" w:before="240" w:afterLines="100" w:after="240" w:line="320" w:lineRule="exact"/>
        <w:ind w:left="360"/>
        <w:rPr>
          <w:rFonts w:ascii="Arial" w:hAnsi="Arial" w:cs="Arial"/>
        </w:rPr>
      </w:pPr>
      <w:r w:rsidRPr="00300E10">
        <w:rPr>
          <w:rFonts w:ascii="Arial" w:hAnsi="Arial" w:cs="Arial"/>
        </w:rPr>
        <w:t>For patients who decline the annual health check a code “Learning disability health check declined” can be added.</w:t>
      </w:r>
    </w:p>
    <w:p w14:paraId="36AFAE1D" w14:textId="533E2BDA" w:rsidR="00300E10" w:rsidRPr="00300E10" w:rsidRDefault="00300E10" w:rsidP="00300E10">
      <w:pPr>
        <w:spacing w:beforeLines="100" w:before="240" w:afterLines="100" w:after="240" w:line="320" w:lineRule="exact"/>
        <w:ind w:left="360"/>
        <w:rPr>
          <w:rFonts w:ascii="Arial" w:hAnsi="Arial" w:cs="Arial"/>
        </w:rPr>
      </w:pPr>
      <w:r w:rsidRPr="00300E10">
        <w:rPr>
          <w:rFonts w:ascii="Arial" w:hAnsi="Arial" w:cs="Arial"/>
        </w:rPr>
        <w:t xml:space="preserve">Before adding this </w:t>
      </w:r>
      <w:proofErr w:type="gramStart"/>
      <w:r w:rsidRPr="00300E10">
        <w:rPr>
          <w:rFonts w:ascii="Arial" w:hAnsi="Arial" w:cs="Arial"/>
        </w:rPr>
        <w:t>code</w:t>
      </w:r>
      <w:proofErr w:type="gramEnd"/>
      <w:r w:rsidRPr="00300E10">
        <w:rPr>
          <w:rFonts w:ascii="Arial" w:hAnsi="Arial" w:cs="Arial"/>
        </w:rPr>
        <w:t xml:space="preserve"> we advise to</w:t>
      </w:r>
    </w:p>
    <w:p w14:paraId="5E3C4FCA" w14:textId="23537256" w:rsidR="00300E10" w:rsidRPr="00300E10" w:rsidRDefault="00300E10" w:rsidP="00300E10">
      <w:pPr>
        <w:pStyle w:val="ListParagraph"/>
        <w:numPr>
          <w:ilvl w:val="0"/>
          <w:numId w:val="2"/>
        </w:numPr>
        <w:spacing w:beforeLines="100" w:before="240" w:afterLines="100" w:after="240" w:line="320" w:lineRule="exact"/>
        <w:rPr>
          <w:rFonts w:ascii="Arial" w:hAnsi="Arial" w:cs="Arial"/>
        </w:rPr>
      </w:pPr>
      <w:r w:rsidRPr="00300E10">
        <w:rPr>
          <w:rFonts w:ascii="Arial" w:hAnsi="Arial" w:cs="Arial"/>
        </w:rPr>
        <w:t xml:space="preserve">Check that reasonable adjustments have been put in place to encourage the patient’s attendance. Making reasonable adjustments is a requirement under the Equality Act. This can include contacting patients in their preferred way, providing easy read invitations and information materials and adjusting the appointment time and place to suit their needs. </w:t>
      </w:r>
    </w:p>
    <w:p w14:paraId="537BA718" w14:textId="5356091C" w:rsidR="00300E10" w:rsidRPr="00300E10" w:rsidRDefault="00300E10" w:rsidP="00300E10">
      <w:pPr>
        <w:pStyle w:val="ListParagraph"/>
        <w:numPr>
          <w:ilvl w:val="0"/>
          <w:numId w:val="2"/>
        </w:numPr>
        <w:spacing w:beforeLines="100" w:before="240" w:afterLines="100" w:after="240" w:line="320" w:lineRule="exact"/>
        <w:rPr>
          <w:rFonts w:ascii="Arial" w:hAnsi="Arial" w:cs="Arial"/>
        </w:rPr>
      </w:pPr>
      <w:r w:rsidRPr="00300E10">
        <w:rPr>
          <w:rFonts w:ascii="Arial" w:hAnsi="Arial" w:cs="Arial"/>
        </w:rPr>
        <w:lastRenderedPageBreak/>
        <w:t>Follow up non responders and patients who miss their appointments with consideration to their mental capacity and ability consent.</w:t>
      </w:r>
    </w:p>
    <w:p w14:paraId="5CF89D23" w14:textId="2A5634F1" w:rsidR="00300E10" w:rsidRPr="00300E10" w:rsidRDefault="00300E10" w:rsidP="00300E10">
      <w:pPr>
        <w:pStyle w:val="ListParagraph"/>
        <w:numPr>
          <w:ilvl w:val="0"/>
          <w:numId w:val="2"/>
        </w:numPr>
        <w:spacing w:beforeLines="100" w:before="240" w:afterLines="100" w:after="240" w:line="320" w:lineRule="exact"/>
        <w:rPr>
          <w:rFonts w:ascii="Arial" w:hAnsi="Arial" w:cs="Arial"/>
        </w:rPr>
      </w:pPr>
      <w:r w:rsidRPr="00300E10">
        <w:rPr>
          <w:rFonts w:ascii="Arial" w:hAnsi="Arial" w:cs="Arial"/>
        </w:rPr>
        <w:t xml:space="preserve">Consideration if the patient is vulnerable and if there are any safeguarding concerns. Please refer to the ICB was not brought policy for vulnerable adults </w:t>
      </w:r>
      <w:hyperlink r:id="rId7" w:history="1">
        <w:r w:rsidRPr="00300E10">
          <w:rPr>
            <w:rStyle w:val="Hyperlink"/>
            <w:rFonts w:ascii="Arial" w:hAnsi="Arial" w:cs="Arial"/>
          </w:rPr>
          <w:t>bnssg-vulnerable-adult-wnb-policy-v3-jan25.pdf</w:t>
        </w:r>
      </w:hyperlink>
      <w:r w:rsidRPr="00300E10">
        <w:rPr>
          <w:rFonts w:ascii="Arial" w:hAnsi="Arial" w:cs="Arial"/>
        </w:rPr>
        <w:t xml:space="preserve"> and for children </w:t>
      </w:r>
      <w:hyperlink r:id="rId8" w:history="1">
        <w:r w:rsidRPr="00300E10">
          <w:rPr>
            <w:rStyle w:val="Hyperlink"/>
            <w:rFonts w:ascii="Arial" w:hAnsi="Arial" w:cs="Arial"/>
          </w:rPr>
          <w:t>bnssg-childrens-wnb-policy-v3-jan25.pdf</w:t>
        </w:r>
      </w:hyperlink>
    </w:p>
    <w:p w14:paraId="27BF4D96" w14:textId="77777777" w:rsidR="00300E10" w:rsidRDefault="00300E10" w:rsidP="00300E10">
      <w:pPr>
        <w:spacing w:beforeLines="100" w:before="240" w:afterLines="100" w:after="240" w:line="320" w:lineRule="exact"/>
        <w:rPr>
          <w:rFonts w:ascii="Arial" w:hAnsi="Arial" w:cs="Arial"/>
        </w:rPr>
      </w:pPr>
    </w:p>
    <w:p w14:paraId="248BD80B" w14:textId="77777777" w:rsidR="00300E10" w:rsidRPr="00300E10" w:rsidRDefault="00300E10" w:rsidP="00300E10">
      <w:pPr>
        <w:spacing w:beforeLines="100" w:before="240" w:afterLines="100" w:after="240" w:line="320" w:lineRule="exact"/>
        <w:rPr>
          <w:rFonts w:ascii="Arial" w:hAnsi="Arial" w:cs="Arial"/>
          <w:u w:val="single"/>
        </w:rPr>
      </w:pPr>
      <w:r w:rsidRPr="00300E10">
        <w:rPr>
          <w:rFonts w:ascii="Arial" w:hAnsi="Arial" w:cs="Arial"/>
          <w:u w:val="single"/>
        </w:rPr>
        <w:t>Support</w:t>
      </w:r>
    </w:p>
    <w:p w14:paraId="2C287A17" w14:textId="77777777" w:rsidR="00300E10" w:rsidRDefault="00300E10" w:rsidP="00300E10">
      <w:pPr>
        <w:spacing w:beforeLines="100" w:before="240" w:afterLines="100" w:after="240" w:line="320" w:lineRule="exact"/>
        <w:rPr>
          <w:rFonts w:ascii="Arial" w:hAnsi="Arial" w:cs="Arial"/>
        </w:rPr>
      </w:pPr>
      <w:r w:rsidRPr="00300E10">
        <w:rPr>
          <w:rFonts w:ascii="Arial" w:hAnsi="Arial" w:cs="Arial"/>
        </w:rPr>
        <w:t xml:space="preserve">We are keen to offer training and support to practices in all aspects of the annual health checks, health action plans and the practice register. This includes the offer of training of individuals and practices. </w:t>
      </w:r>
    </w:p>
    <w:p w14:paraId="64CBC2CD" w14:textId="23EBE7CD" w:rsidR="00300E10" w:rsidRPr="00300E10" w:rsidRDefault="00300E10" w:rsidP="00300E10">
      <w:pPr>
        <w:spacing w:beforeLines="100" w:before="240" w:afterLines="100" w:after="240" w:line="320" w:lineRule="exact"/>
        <w:rPr>
          <w:rFonts w:ascii="Arial" w:hAnsi="Arial" w:cs="Arial"/>
        </w:rPr>
      </w:pPr>
      <w:r w:rsidRPr="00300E10">
        <w:rPr>
          <w:rFonts w:ascii="Arial" w:hAnsi="Arial" w:cs="Arial"/>
        </w:rPr>
        <w:t xml:space="preserve">Please contact </w:t>
      </w:r>
      <w:hyperlink r:id="rId9" w:history="1">
        <w:r w:rsidRPr="00300E10">
          <w:rPr>
            <w:rStyle w:val="Hyperlink"/>
            <w:rFonts w:ascii="Arial" w:hAnsi="Arial" w:cs="Arial"/>
          </w:rPr>
          <w:t>juline.matthies@nhs.net</w:t>
        </w:r>
      </w:hyperlink>
      <w:r w:rsidRPr="00300E10">
        <w:rPr>
          <w:rFonts w:ascii="Arial" w:hAnsi="Arial" w:cs="Arial"/>
        </w:rPr>
        <w:t xml:space="preserve"> for further information</w:t>
      </w:r>
    </w:p>
    <w:p w14:paraId="71D49716" w14:textId="6B2334C7" w:rsidR="00300E10" w:rsidRPr="00300E10" w:rsidRDefault="00300E10" w:rsidP="00300E10">
      <w:pPr>
        <w:spacing w:beforeLines="100" w:before="240" w:afterLines="100" w:after="240" w:line="320" w:lineRule="exact"/>
        <w:rPr>
          <w:rFonts w:ascii="Arial" w:hAnsi="Arial" w:cs="Arial"/>
        </w:rPr>
      </w:pPr>
      <w:r w:rsidRPr="00300E10">
        <w:rPr>
          <w:rFonts w:ascii="Arial" w:hAnsi="Arial" w:cs="Arial"/>
        </w:rPr>
        <w:t xml:space="preserve">Our Remedy page </w:t>
      </w:r>
      <w:hyperlink r:id="rId10" w:history="1">
        <w:r w:rsidRPr="00300E10">
          <w:rPr>
            <w:rStyle w:val="Hyperlink"/>
            <w:rFonts w:ascii="Arial" w:hAnsi="Arial" w:cs="Arial"/>
          </w:rPr>
          <w:t>Resources for Learning Disability Annual Health Checks and Health Action Plans (Remedy BNSSG ICB)</w:t>
        </w:r>
      </w:hyperlink>
      <w:r w:rsidRPr="00300E10">
        <w:rPr>
          <w:rFonts w:ascii="Arial" w:hAnsi="Arial" w:cs="Arial"/>
        </w:rPr>
        <w:t xml:space="preserve"> has a wealth of resources including a link to the </w:t>
      </w:r>
      <w:hyperlink r:id="rId11" w:history="1">
        <w:r w:rsidRPr="00300E10">
          <w:rPr>
            <w:rStyle w:val="Hyperlink"/>
            <w:rFonts w:ascii="Arial" w:hAnsi="Arial" w:cs="Arial"/>
          </w:rPr>
          <w:t>Learning Disability Annual Health Check Toolkit</w:t>
        </w:r>
      </w:hyperlink>
      <w:r w:rsidRPr="00300E10">
        <w:rPr>
          <w:rFonts w:ascii="Arial" w:hAnsi="Arial" w:cs="Arial"/>
        </w:rPr>
        <w:t>. This toolkit supports annual health check from invitation to creating a health action plan with links for patients, supporters and clinicians to further information.</w:t>
      </w:r>
    </w:p>
    <w:p w14:paraId="3C385F70" w14:textId="77777777" w:rsidR="00300E10" w:rsidRDefault="00300E10" w:rsidP="00300E10"/>
    <w:p w14:paraId="41192964" w14:textId="77777777" w:rsidR="00300E10" w:rsidRDefault="00300E10" w:rsidP="002577E8">
      <w:pPr>
        <w:ind w:left="360"/>
      </w:pPr>
    </w:p>
    <w:sectPr w:rsidR="00300E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2429A0"/>
    <w:multiLevelType w:val="hybridMultilevel"/>
    <w:tmpl w:val="2D6E5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B94AC6"/>
    <w:multiLevelType w:val="hybridMultilevel"/>
    <w:tmpl w:val="112C4C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08343236">
    <w:abstractNumId w:val="0"/>
  </w:num>
  <w:num w:numId="2" w16cid:durableId="1398701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7E8"/>
    <w:rsid w:val="002577E8"/>
    <w:rsid w:val="00300E10"/>
    <w:rsid w:val="004457AF"/>
    <w:rsid w:val="00552A80"/>
    <w:rsid w:val="006F7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E6FEA"/>
  <w15:chartTrackingRefBased/>
  <w15:docId w15:val="{1F79495E-92F4-46FC-ADF7-DE9725D5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character" w:styleId="Hyperlink">
    <w:name w:val="Hyperlink"/>
    <w:basedOn w:val="DefaultParagraphFont"/>
    <w:uiPriority w:val="99"/>
    <w:unhideWhenUsed/>
    <w:rsid w:val="002577E8"/>
    <w:rPr>
      <w:color w:val="0000FF" w:themeColor="hyperlink"/>
      <w:u w:val="single"/>
    </w:rPr>
  </w:style>
  <w:style w:type="character" w:styleId="UnresolvedMention">
    <w:name w:val="Unresolved Mention"/>
    <w:basedOn w:val="DefaultParagraphFont"/>
    <w:uiPriority w:val="99"/>
    <w:semiHidden/>
    <w:unhideWhenUsed/>
    <w:rsid w:val="00257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medy.bnssg.icb.nhs.uk/media/v4tbugcl/bnssg-childrens-wnb-policy-v3-jan25.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medy.bnssg.icb.nhs.uk/media/4kyfchwq/bnssg-vulnerable-adult-wnb-policy-v3-jan25.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media/67e683d737baea91c58c9fd4/primary-medical-services-directed-enhanced-services-directions-2025.pdf" TargetMode="External"/><Relationship Id="rId11" Type="http://schemas.openxmlformats.org/officeDocument/2006/relationships/hyperlink" Target="https://remedy.bnssg.icb.nhs.uk/media/c3albnjo/sw-learning-disability-annual-health-check-toolkit.pdf" TargetMode="External"/><Relationship Id="rId5" Type="http://schemas.openxmlformats.org/officeDocument/2006/relationships/hyperlink" Target="https://www.england.nhs.uk/wp-content/uploads/2025/03/network-contract-DES-contract-contract-specification-2025-26.pdf" TargetMode="External"/><Relationship Id="rId10" Type="http://schemas.openxmlformats.org/officeDocument/2006/relationships/hyperlink" Target="https://remedy.bnssg.icb.nhs.uk/adults/learning-disabilities/resources-for-learning-disability-annual-health-checks-and-health-action-plans/" TargetMode="External"/><Relationship Id="rId4" Type="http://schemas.openxmlformats.org/officeDocument/2006/relationships/webSettings" Target="webSettings.xml"/><Relationship Id="rId9" Type="http://schemas.openxmlformats.org/officeDocument/2006/relationships/hyperlink" Target="mailto:juline.matthie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527</Words>
  <Characters>3134</Characters>
  <Application>Microsoft Office Word</Application>
  <DocSecurity>0</DocSecurity>
  <Lines>74</Lines>
  <Paragraphs>38</Paragraphs>
  <ScaleCrop>false</ScaleCrop>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MATTHIES, Juliane (ORCHARD MEDICAL CENTRE - L81055)</dc:creator>
  <cp:keywords/>
  <dc:description/>
  <cp:lastModifiedBy>MATTHIES, Juliane (ORCHARD MEDICAL CENTRE - L81055)</cp:lastModifiedBy>
  <cp:revision>2</cp:revision>
  <dcterms:created xsi:type="dcterms:W3CDTF">2025-04-29T09:06:00Z</dcterms:created>
  <dcterms:modified xsi:type="dcterms:W3CDTF">2025-04-29T11:01:00Z</dcterms:modified>
</cp:coreProperties>
</file>