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6870E" w14:textId="16026085" w:rsidR="002F569E" w:rsidRPr="0096069F" w:rsidRDefault="004857D6" w:rsidP="0096069F">
      <w:pPr>
        <w:pStyle w:val="Title"/>
        <w:jc w:val="center"/>
        <w:rPr>
          <w:rFonts w:asciiTheme="minorHAnsi" w:hAnsiTheme="minorHAnsi" w:cstheme="minorHAnsi"/>
          <w:b/>
          <w:bCs/>
          <w:sz w:val="40"/>
          <w:szCs w:val="40"/>
        </w:rPr>
      </w:pPr>
      <w:r w:rsidRPr="0096069F">
        <w:rPr>
          <w:rFonts w:asciiTheme="minorHAnsi" w:hAnsiTheme="minorHAnsi" w:cstheme="minorHAnsi"/>
          <w:b/>
          <w:bCs/>
          <w:sz w:val="40"/>
          <w:szCs w:val="40"/>
        </w:rPr>
        <w:t>Learning disability and autism newsletter</w:t>
      </w:r>
    </w:p>
    <w:tbl>
      <w:tblPr>
        <w:tblStyle w:val="TableGrid"/>
        <w:tblW w:w="11483" w:type="dxa"/>
        <w:tblInd w:w="-856" w:type="dxa"/>
        <w:tblLayout w:type="fixed"/>
        <w:tblLook w:val="04A0" w:firstRow="1" w:lastRow="0" w:firstColumn="1" w:lastColumn="0" w:noHBand="0" w:noVBand="1"/>
      </w:tblPr>
      <w:tblGrid>
        <w:gridCol w:w="11483"/>
      </w:tblGrid>
      <w:tr w:rsidR="00A54ACB" w:rsidRPr="0096069F" w14:paraId="7A5BAAB8" w14:textId="77777777" w:rsidTr="0096069F">
        <w:tc>
          <w:tcPr>
            <w:tcW w:w="11483" w:type="dxa"/>
            <w:shd w:val="clear" w:color="auto" w:fill="C7DDFD" w:themeFill="accent6" w:themeFillTint="33"/>
          </w:tcPr>
          <w:p w14:paraId="24A71B18" w14:textId="67B92CAC" w:rsidR="00A54ACB" w:rsidRPr="0096069F" w:rsidRDefault="00A54ACB" w:rsidP="002F569E">
            <w:pPr>
              <w:rPr>
                <w:rFonts w:asciiTheme="minorHAnsi" w:hAnsiTheme="minorHAnsi" w:cstheme="minorHAnsi"/>
                <w:b/>
                <w:bCs/>
                <w:color w:val="1C1F63" w:themeColor="text1"/>
                <w:sz w:val="20"/>
                <w:szCs w:val="20"/>
              </w:rPr>
            </w:pPr>
            <w:r w:rsidRPr="0096069F">
              <w:rPr>
                <w:rFonts w:asciiTheme="minorHAnsi" w:hAnsiTheme="minorHAnsi" w:cstheme="minorHAnsi"/>
                <w:b/>
                <w:bCs/>
                <w:color w:val="1C1F63" w:themeColor="text1"/>
                <w:sz w:val="20"/>
                <w:szCs w:val="20"/>
              </w:rPr>
              <w:t>Annual health check resources around health lifestyle and weight</w:t>
            </w:r>
          </w:p>
          <w:p w14:paraId="6F7ACEF0" w14:textId="77777777" w:rsidR="00A54ACB" w:rsidRPr="0096069F" w:rsidRDefault="00A54ACB" w:rsidP="002F569E">
            <w:pPr>
              <w:rPr>
                <w:rFonts w:asciiTheme="minorHAnsi" w:hAnsiTheme="minorHAnsi" w:cstheme="minorHAnsi"/>
                <w:b/>
                <w:bCs/>
                <w:sz w:val="20"/>
                <w:szCs w:val="20"/>
              </w:rPr>
            </w:pPr>
          </w:p>
          <w:p w14:paraId="3D752288" w14:textId="17806E34" w:rsidR="00A54ACB" w:rsidRPr="0096069F" w:rsidRDefault="00A54ACB" w:rsidP="002F569E">
            <w:pPr>
              <w:rPr>
                <w:rFonts w:asciiTheme="minorHAnsi" w:hAnsiTheme="minorHAnsi" w:cstheme="minorHAnsi"/>
                <w:sz w:val="20"/>
                <w:szCs w:val="20"/>
              </w:rPr>
            </w:pPr>
            <w:r w:rsidRPr="0096069F">
              <w:rPr>
                <w:rFonts w:asciiTheme="minorHAnsi" w:hAnsiTheme="minorHAnsi" w:cstheme="minorHAnsi"/>
                <w:sz w:val="20"/>
                <w:szCs w:val="20"/>
              </w:rPr>
              <w:t>2 in 3 adults in the UK are overweight or obese. Having a learning disability increases this risk. Contributing factors can be poor eating habits and low level of physical activity. Obesity is also liked to social disadvantage and people with learning disability are more likely to fall in this group.</w:t>
            </w:r>
          </w:p>
          <w:p w14:paraId="24A3E08E" w14:textId="77777777" w:rsidR="00A54ACB" w:rsidRPr="0096069F" w:rsidRDefault="00A54ACB" w:rsidP="002F569E">
            <w:pPr>
              <w:rPr>
                <w:rFonts w:asciiTheme="minorHAnsi" w:hAnsiTheme="minorHAnsi" w:cstheme="minorHAnsi"/>
                <w:sz w:val="20"/>
                <w:szCs w:val="20"/>
              </w:rPr>
            </w:pPr>
          </w:p>
          <w:p w14:paraId="36BD5E69" w14:textId="28E3A0EB" w:rsidR="00A54ACB" w:rsidRPr="0096069F" w:rsidRDefault="00A54ACB" w:rsidP="002F569E">
            <w:pPr>
              <w:rPr>
                <w:rFonts w:asciiTheme="minorHAnsi" w:hAnsiTheme="minorHAnsi" w:cstheme="minorHAnsi"/>
                <w:sz w:val="20"/>
                <w:szCs w:val="20"/>
              </w:rPr>
            </w:pPr>
            <w:r w:rsidRPr="0096069F">
              <w:rPr>
                <w:rFonts w:asciiTheme="minorHAnsi" w:hAnsiTheme="minorHAnsi" w:cstheme="minorHAnsi"/>
                <w:sz w:val="20"/>
                <w:szCs w:val="20"/>
                <w:u w:val="single"/>
              </w:rPr>
              <w:t>General resources</w:t>
            </w:r>
            <w:r w:rsidRPr="0096069F">
              <w:rPr>
                <w:rFonts w:asciiTheme="minorHAnsi" w:hAnsiTheme="minorHAnsi" w:cstheme="minorHAnsi"/>
                <w:sz w:val="20"/>
                <w:szCs w:val="20"/>
              </w:rPr>
              <w:t>:</w:t>
            </w:r>
          </w:p>
          <w:p w14:paraId="47B3F767" w14:textId="489688F4" w:rsidR="00A54ACB" w:rsidRPr="0096069F" w:rsidRDefault="00A54ACB" w:rsidP="002F569E">
            <w:pPr>
              <w:rPr>
                <w:rFonts w:asciiTheme="minorHAnsi" w:hAnsiTheme="minorHAnsi" w:cstheme="minorHAnsi"/>
                <w:sz w:val="20"/>
                <w:szCs w:val="20"/>
              </w:rPr>
            </w:pPr>
            <w:r w:rsidRPr="0096069F">
              <w:rPr>
                <w:rFonts w:asciiTheme="minorHAnsi" w:hAnsiTheme="minorHAnsi" w:cstheme="minorHAnsi"/>
                <w:sz w:val="20"/>
                <w:szCs w:val="20"/>
              </w:rPr>
              <w:t xml:space="preserve">Our website has a lot of resources for patients around healthy lifestyle, diet and exercise. </w:t>
            </w:r>
          </w:p>
          <w:p w14:paraId="6B3AC6C0" w14:textId="7A91D562" w:rsidR="00A54ACB" w:rsidRPr="0096069F" w:rsidRDefault="00913EAD" w:rsidP="002F569E">
            <w:pPr>
              <w:rPr>
                <w:rFonts w:asciiTheme="minorHAnsi" w:hAnsiTheme="minorHAnsi" w:cstheme="minorHAnsi"/>
                <w:sz w:val="20"/>
                <w:szCs w:val="20"/>
              </w:rPr>
            </w:pPr>
            <w:hyperlink r:id="rId11" w:history="1">
              <w:r w:rsidR="00A54ACB" w:rsidRPr="0096069F">
                <w:rPr>
                  <w:rStyle w:val="Hyperlink"/>
                  <w:rFonts w:asciiTheme="minorHAnsi" w:hAnsiTheme="minorHAnsi" w:cstheme="minorHAnsi"/>
                  <w:sz w:val="20"/>
                  <w:szCs w:val="20"/>
                </w:rPr>
                <w:t>Resources for Learning Disability Annual Health Checks and Health Action Plans (Remedy BNSSG ICB)</w:t>
              </w:r>
            </w:hyperlink>
          </w:p>
          <w:p w14:paraId="6FE9B987" w14:textId="642D5457" w:rsidR="00A54ACB" w:rsidRPr="0096069F" w:rsidRDefault="00A54ACB" w:rsidP="002F569E">
            <w:pPr>
              <w:rPr>
                <w:rFonts w:asciiTheme="minorHAnsi" w:hAnsiTheme="minorHAnsi" w:cstheme="minorHAnsi"/>
                <w:sz w:val="20"/>
                <w:szCs w:val="20"/>
              </w:rPr>
            </w:pPr>
            <w:r w:rsidRPr="0096069F">
              <w:rPr>
                <w:rFonts w:asciiTheme="minorHAnsi" w:hAnsiTheme="minorHAnsi" w:cstheme="minorHAnsi"/>
                <w:sz w:val="20"/>
                <w:szCs w:val="20"/>
              </w:rPr>
              <w:t>General resources:</w:t>
            </w:r>
          </w:p>
          <w:p w14:paraId="0B9FAF39" w14:textId="3A098711" w:rsidR="00A54ACB" w:rsidRPr="0096069F" w:rsidRDefault="00913EAD" w:rsidP="006B1714">
            <w:pPr>
              <w:pStyle w:val="ListParagraph"/>
              <w:numPr>
                <w:ilvl w:val="0"/>
                <w:numId w:val="4"/>
              </w:numPr>
              <w:rPr>
                <w:rFonts w:asciiTheme="minorHAnsi" w:hAnsiTheme="minorHAnsi" w:cstheme="minorHAnsi"/>
                <w:sz w:val="20"/>
                <w:szCs w:val="20"/>
              </w:rPr>
            </w:pPr>
            <w:hyperlink r:id="rId12" w:history="1">
              <w:r w:rsidR="00A54ACB" w:rsidRPr="0096069F">
                <w:rPr>
                  <w:rStyle w:val="Hyperlink"/>
                  <w:rFonts w:asciiTheme="minorHAnsi" w:hAnsiTheme="minorHAnsi" w:cstheme="minorHAnsi"/>
                  <w:sz w:val="20"/>
                  <w:szCs w:val="20"/>
                </w:rPr>
                <w:t>Let's Talk About Weight - step by step guide (publishing.service.gov.uk)</w:t>
              </w:r>
            </w:hyperlink>
          </w:p>
          <w:p w14:paraId="0811D382" w14:textId="49E3CB95" w:rsidR="00A54ACB" w:rsidRPr="0096069F" w:rsidRDefault="00A54ACB" w:rsidP="006B1714">
            <w:pPr>
              <w:pStyle w:val="ListParagraph"/>
              <w:numPr>
                <w:ilvl w:val="0"/>
                <w:numId w:val="4"/>
              </w:numPr>
              <w:rPr>
                <w:rFonts w:asciiTheme="minorHAnsi" w:hAnsiTheme="minorHAnsi" w:cstheme="minorHAnsi"/>
                <w:sz w:val="20"/>
                <w:szCs w:val="20"/>
              </w:rPr>
            </w:pPr>
            <w:r w:rsidRPr="0096069F">
              <w:rPr>
                <w:rFonts w:asciiTheme="minorHAnsi" w:hAnsiTheme="minorHAnsi" w:cstheme="minorHAnsi"/>
                <w:sz w:val="20"/>
                <w:szCs w:val="20"/>
              </w:rPr>
              <w:t xml:space="preserve">Eat well guide with an updated eat well plate: </w:t>
            </w:r>
            <w:hyperlink r:id="rId13" w:history="1">
              <w:r w:rsidRPr="0096069F">
                <w:rPr>
                  <w:rStyle w:val="Hyperlink"/>
                  <w:rFonts w:asciiTheme="minorHAnsi" w:hAnsiTheme="minorHAnsi" w:cstheme="minorHAnsi"/>
                  <w:sz w:val="20"/>
                  <w:szCs w:val="20"/>
                </w:rPr>
                <w:t>Eatwell Guide (publishing.service.gov.uk)</w:t>
              </w:r>
            </w:hyperlink>
          </w:p>
          <w:p w14:paraId="2EEBE5BD" w14:textId="22744E89" w:rsidR="00A54ACB" w:rsidRPr="0096069F" w:rsidRDefault="00A54ACB" w:rsidP="006B1714">
            <w:pPr>
              <w:pStyle w:val="ListParagraph"/>
              <w:numPr>
                <w:ilvl w:val="0"/>
                <w:numId w:val="4"/>
              </w:numPr>
              <w:rPr>
                <w:rFonts w:asciiTheme="minorHAnsi" w:hAnsiTheme="minorHAnsi" w:cstheme="minorHAnsi"/>
                <w:sz w:val="20"/>
                <w:szCs w:val="20"/>
              </w:rPr>
            </w:pPr>
            <w:r w:rsidRPr="0096069F">
              <w:rPr>
                <w:rFonts w:asciiTheme="minorHAnsi" w:hAnsiTheme="minorHAnsi" w:cstheme="minorHAnsi"/>
                <w:sz w:val="20"/>
                <w:szCs w:val="20"/>
              </w:rPr>
              <w:t xml:space="preserve">Language matters form obesity UK how to approach weight discussions with patients </w:t>
            </w:r>
            <w:hyperlink r:id="rId14" w:history="1">
              <w:r w:rsidRPr="0096069F">
                <w:rPr>
                  <w:rStyle w:val="Hyperlink"/>
                  <w:rFonts w:asciiTheme="minorHAnsi" w:hAnsiTheme="minorHAnsi" w:cstheme="minorHAnsi"/>
                  <w:sz w:val="20"/>
                  <w:szCs w:val="20"/>
                </w:rPr>
                <w:t>MAC01941_NN_UK_HCP_Obesity_Guidelines_lo1b (squarespace.com)</w:t>
              </w:r>
            </w:hyperlink>
          </w:p>
          <w:p w14:paraId="2AD95063" w14:textId="77777777" w:rsidR="00A54ACB" w:rsidRPr="0096069F" w:rsidRDefault="00A54ACB" w:rsidP="006B1714">
            <w:pPr>
              <w:pStyle w:val="ListParagraph"/>
              <w:numPr>
                <w:ilvl w:val="0"/>
                <w:numId w:val="4"/>
              </w:numPr>
              <w:rPr>
                <w:rFonts w:asciiTheme="minorHAnsi" w:hAnsiTheme="minorHAnsi" w:cstheme="minorHAnsi"/>
                <w:sz w:val="20"/>
                <w:szCs w:val="20"/>
              </w:rPr>
            </w:pPr>
            <w:r w:rsidRPr="0096069F">
              <w:rPr>
                <w:rFonts w:asciiTheme="minorHAnsi" w:hAnsiTheme="minorHAnsi" w:cstheme="minorHAnsi"/>
                <w:sz w:val="20"/>
                <w:szCs w:val="20"/>
              </w:rPr>
              <w:t xml:space="preserve">Eat well, move more for families: </w:t>
            </w:r>
            <w:hyperlink r:id="rId15" w:history="1">
              <w:r w:rsidRPr="0096069F">
                <w:rPr>
                  <w:rStyle w:val="Hyperlink"/>
                  <w:rFonts w:asciiTheme="minorHAnsi" w:hAnsiTheme="minorHAnsi" w:cstheme="minorHAnsi"/>
                  <w:sz w:val="20"/>
                  <w:szCs w:val="20"/>
                </w:rPr>
                <w:t>Healthier Families - Home - NHS (www.nhs.uk)</w:t>
              </w:r>
            </w:hyperlink>
          </w:p>
          <w:p w14:paraId="25C457F9" w14:textId="3F01636B" w:rsidR="00A54ACB" w:rsidRPr="0096069F" w:rsidRDefault="00A54ACB" w:rsidP="00EA5550">
            <w:pPr>
              <w:rPr>
                <w:rFonts w:asciiTheme="minorHAnsi" w:hAnsiTheme="minorHAnsi" w:cstheme="minorHAnsi"/>
                <w:sz w:val="20"/>
                <w:szCs w:val="20"/>
                <w:u w:val="single"/>
              </w:rPr>
            </w:pPr>
            <w:r w:rsidRPr="0096069F">
              <w:rPr>
                <w:rFonts w:asciiTheme="minorHAnsi" w:hAnsiTheme="minorHAnsi" w:cstheme="minorHAnsi"/>
                <w:sz w:val="20"/>
                <w:szCs w:val="20"/>
                <w:u w:val="single"/>
              </w:rPr>
              <w:t>Learning disability specific resources:</w:t>
            </w:r>
          </w:p>
          <w:p w14:paraId="53BD7C79" w14:textId="7856F9FB" w:rsidR="00A54ACB" w:rsidRPr="0096069F" w:rsidRDefault="00A54ACB" w:rsidP="006B1714">
            <w:pPr>
              <w:pStyle w:val="ListParagraph"/>
              <w:numPr>
                <w:ilvl w:val="0"/>
                <w:numId w:val="4"/>
              </w:numPr>
              <w:rPr>
                <w:rFonts w:asciiTheme="minorHAnsi" w:hAnsiTheme="minorHAnsi" w:cstheme="minorHAnsi"/>
                <w:sz w:val="20"/>
                <w:szCs w:val="20"/>
              </w:rPr>
            </w:pPr>
            <w:bookmarkStart w:id="0" w:name="_Hlk175053625"/>
            <w:r w:rsidRPr="0096069F">
              <w:rPr>
                <w:rFonts w:asciiTheme="minorHAnsi" w:hAnsiTheme="minorHAnsi" w:cstheme="minorHAnsi"/>
                <w:sz w:val="20"/>
                <w:szCs w:val="20"/>
              </w:rPr>
              <w:t xml:space="preserve">For patients and carers: </w:t>
            </w:r>
            <w:hyperlink r:id="rId16" w:history="1">
              <w:r w:rsidRPr="0096069F">
                <w:rPr>
                  <w:rStyle w:val="Hyperlink"/>
                  <w:rFonts w:asciiTheme="minorHAnsi" w:hAnsiTheme="minorHAnsi" w:cstheme="minorHAnsi"/>
                  <w:sz w:val="20"/>
                  <w:szCs w:val="20"/>
                </w:rPr>
                <w:t>Managing weight with a learning disability - NHS (www.nhs.uk)</w:t>
              </w:r>
            </w:hyperlink>
          </w:p>
          <w:bookmarkEnd w:id="0"/>
          <w:p w14:paraId="3B88D0A9" w14:textId="545E9F7F" w:rsidR="00A54ACB" w:rsidRPr="0096069F" w:rsidRDefault="00A54ACB" w:rsidP="006B1714">
            <w:pPr>
              <w:pStyle w:val="ListParagraph"/>
              <w:numPr>
                <w:ilvl w:val="0"/>
                <w:numId w:val="4"/>
              </w:numPr>
              <w:rPr>
                <w:rFonts w:asciiTheme="minorHAnsi" w:hAnsiTheme="minorHAnsi" w:cstheme="minorHAnsi"/>
                <w:sz w:val="20"/>
                <w:szCs w:val="20"/>
              </w:rPr>
            </w:pPr>
            <w:r w:rsidRPr="0096069F">
              <w:rPr>
                <w:rFonts w:asciiTheme="minorHAnsi" w:hAnsiTheme="minorHAnsi" w:cstheme="minorHAnsi"/>
                <w:sz w:val="20"/>
                <w:szCs w:val="20"/>
              </w:rPr>
              <w:t xml:space="preserve">Easy read guides health lifestyle </w:t>
            </w:r>
            <w:hyperlink r:id="rId17" w:history="1">
              <w:r w:rsidRPr="0096069F">
                <w:rPr>
                  <w:rStyle w:val="Hyperlink"/>
                  <w:rFonts w:asciiTheme="minorHAnsi" w:hAnsiTheme="minorHAnsi" w:cstheme="minorHAnsi"/>
                  <w:sz w:val="20"/>
                  <w:szCs w:val="20"/>
                </w:rPr>
                <w:t>Diet | A Picture of Health | Making Health Information Easier (southwest.nhs.uk)</w:t>
              </w:r>
            </w:hyperlink>
            <w:r w:rsidRPr="0096069F">
              <w:rPr>
                <w:rFonts w:asciiTheme="minorHAnsi" w:hAnsiTheme="minorHAnsi" w:cstheme="minorHAnsi"/>
                <w:sz w:val="20"/>
                <w:szCs w:val="20"/>
              </w:rPr>
              <w:t xml:space="preserve"> </w:t>
            </w:r>
          </w:p>
          <w:p w14:paraId="6DEE6F32" w14:textId="1828129C" w:rsidR="00A54ACB" w:rsidRPr="0096069F" w:rsidRDefault="00A54ACB" w:rsidP="006B1714">
            <w:pPr>
              <w:pStyle w:val="ListParagraph"/>
              <w:numPr>
                <w:ilvl w:val="0"/>
                <w:numId w:val="4"/>
              </w:numPr>
              <w:rPr>
                <w:rFonts w:asciiTheme="minorHAnsi" w:hAnsiTheme="minorHAnsi" w:cstheme="minorHAnsi"/>
                <w:sz w:val="20"/>
                <w:szCs w:val="20"/>
              </w:rPr>
            </w:pPr>
            <w:r w:rsidRPr="0096069F">
              <w:rPr>
                <w:rFonts w:asciiTheme="minorHAnsi" w:hAnsiTheme="minorHAnsi" w:cstheme="minorHAnsi"/>
                <w:sz w:val="20"/>
                <w:szCs w:val="20"/>
              </w:rPr>
              <w:t xml:space="preserve">Easy read guides for exercise </w:t>
            </w:r>
            <w:hyperlink r:id="rId18" w:history="1">
              <w:proofErr w:type="spellStart"/>
              <w:r w:rsidRPr="0096069F">
                <w:rPr>
                  <w:rStyle w:val="Hyperlink"/>
                  <w:rFonts w:asciiTheme="minorHAnsi" w:hAnsiTheme="minorHAnsi" w:cstheme="minorHAnsi"/>
                  <w:sz w:val="20"/>
                  <w:szCs w:val="20"/>
                </w:rPr>
                <w:t>Exercise</w:t>
              </w:r>
              <w:proofErr w:type="spellEnd"/>
              <w:r w:rsidRPr="0096069F">
                <w:rPr>
                  <w:rStyle w:val="Hyperlink"/>
                  <w:rFonts w:asciiTheme="minorHAnsi" w:hAnsiTheme="minorHAnsi" w:cstheme="minorHAnsi"/>
                  <w:sz w:val="20"/>
                  <w:szCs w:val="20"/>
                </w:rPr>
                <w:t xml:space="preserve"> | A Picture of Health | Making Health Information Easier (southwest.nhs.uk)</w:t>
              </w:r>
            </w:hyperlink>
          </w:p>
          <w:p w14:paraId="3BF27ED9" w14:textId="77777777" w:rsidR="00A54ACB" w:rsidRPr="0096069F" w:rsidRDefault="00A54ACB" w:rsidP="006B1714">
            <w:pPr>
              <w:rPr>
                <w:rStyle w:val="Hyperlink"/>
                <w:rFonts w:asciiTheme="minorHAnsi" w:hAnsiTheme="minorHAnsi" w:cstheme="minorHAnsi"/>
                <w:sz w:val="20"/>
                <w:szCs w:val="20"/>
              </w:rPr>
            </w:pPr>
            <w:r w:rsidRPr="0096069F">
              <w:rPr>
                <w:rFonts w:asciiTheme="minorHAnsi" w:hAnsiTheme="minorHAnsi" w:cstheme="minorHAnsi"/>
                <w:sz w:val="20"/>
                <w:szCs w:val="20"/>
              </w:rPr>
              <w:t xml:space="preserve">Excellent and comprehensive guide for professionals: “Eating well: children and adults with learning disabilities -Nutritional and practical guidelines” form The Caroline Walker Trust </w:t>
            </w:r>
            <w:hyperlink r:id="rId19" w:history="1">
              <w:r w:rsidRPr="0096069F">
                <w:rPr>
                  <w:rStyle w:val="Hyperlink"/>
                  <w:rFonts w:asciiTheme="minorHAnsi" w:hAnsiTheme="minorHAnsi" w:cstheme="minorHAnsi"/>
                  <w:sz w:val="20"/>
                  <w:szCs w:val="20"/>
                </w:rPr>
                <w:t>29552_CVr:29552_CVr (cwt.org.uk)</w:t>
              </w:r>
            </w:hyperlink>
          </w:p>
          <w:p w14:paraId="2CA96A31" w14:textId="452A3D81" w:rsidR="00A54ACB" w:rsidRPr="0096069F" w:rsidRDefault="00A54ACB" w:rsidP="006B1714">
            <w:pPr>
              <w:rPr>
                <w:rFonts w:asciiTheme="minorHAnsi" w:hAnsiTheme="minorHAnsi" w:cstheme="minorHAnsi"/>
                <w:sz w:val="20"/>
                <w:szCs w:val="20"/>
              </w:rPr>
            </w:pPr>
          </w:p>
        </w:tc>
      </w:tr>
      <w:tr w:rsidR="00A54ACB" w:rsidRPr="0096069F" w14:paraId="6A7B4091" w14:textId="77777777" w:rsidTr="0096069F">
        <w:tc>
          <w:tcPr>
            <w:tcW w:w="11483" w:type="dxa"/>
            <w:shd w:val="clear" w:color="auto" w:fill="C3C4EE" w:themeFill="text1" w:themeFillTint="33"/>
          </w:tcPr>
          <w:p w14:paraId="4DB3D34E" w14:textId="1E76C373" w:rsidR="00A54ACB" w:rsidRPr="0096069F" w:rsidRDefault="00A54ACB" w:rsidP="002F569E">
            <w:pPr>
              <w:rPr>
                <w:rFonts w:asciiTheme="minorHAnsi" w:hAnsiTheme="minorHAnsi" w:cstheme="minorHAnsi"/>
                <w:b/>
                <w:bCs/>
                <w:sz w:val="20"/>
                <w:szCs w:val="20"/>
              </w:rPr>
            </w:pPr>
            <w:r w:rsidRPr="0096069F">
              <w:rPr>
                <w:rFonts w:asciiTheme="minorHAnsi" w:hAnsiTheme="minorHAnsi" w:cstheme="minorHAnsi"/>
                <w:b/>
                <w:bCs/>
                <w:sz w:val="20"/>
                <w:szCs w:val="20"/>
              </w:rPr>
              <w:t>Pneumococcal vaccine for adult patients with learning disability</w:t>
            </w:r>
          </w:p>
          <w:p w14:paraId="1DF7F391" w14:textId="77777777" w:rsidR="00A54ACB" w:rsidRPr="0096069F" w:rsidRDefault="00A54ACB" w:rsidP="002F569E">
            <w:pPr>
              <w:rPr>
                <w:rFonts w:asciiTheme="minorHAnsi" w:hAnsiTheme="minorHAnsi" w:cstheme="minorHAnsi"/>
                <w:b/>
                <w:bCs/>
                <w:sz w:val="20"/>
                <w:szCs w:val="20"/>
              </w:rPr>
            </w:pPr>
          </w:p>
          <w:p w14:paraId="79B20029" w14:textId="743D8FF3" w:rsidR="00A54ACB" w:rsidRPr="0096069F" w:rsidRDefault="00A54ACB" w:rsidP="002F569E">
            <w:pPr>
              <w:rPr>
                <w:rFonts w:asciiTheme="minorHAnsi" w:hAnsiTheme="minorHAnsi" w:cstheme="minorHAnsi"/>
                <w:sz w:val="20"/>
                <w:szCs w:val="20"/>
              </w:rPr>
            </w:pPr>
            <w:r w:rsidRPr="0096069F">
              <w:rPr>
                <w:rFonts w:asciiTheme="minorHAnsi" w:hAnsiTheme="minorHAnsi" w:cstheme="minorHAnsi"/>
                <w:sz w:val="20"/>
                <w:szCs w:val="20"/>
              </w:rPr>
              <w:t>Please consider offering a one-off pneumococcal vaccine to any adult with learning disability you consider at risk of aspiration pneumonia.</w:t>
            </w:r>
          </w:p>
          <w:p w14:paraId="6355F712" w14:textId="580ED299" w:rsidR="00A54ACB" w:rsidRPr="0096069F" w:rsidRDefault="00A54ACB" w:rsidP="002F569E">
            <w:pPr>
              <w:rPr>
                <w:rFonts w:asciiTheme="minorHAnsi" w:hAnsiTheme="minorHAnsi" w:cstheme="minorHAnsi"/>
                <w:sz w:val="20"/>
                <w:szCs w:val="20"/>
              </w:rPr>
            </w:pPr>
            <w:r w:rsidRPr="0096069F">
              <w:rPr>
                <w:rFonts w:asciiTheme="minorHAnsi" w:hAnsiTheme="minorHAnsi" w:cstheme="minorHAnsi"/>
                <w:sz w:val="20"/>
                <w:szCs w:val="20"/>
              </w:rPr>
              <w:t xml:space="preserve">See guidance on learning disability and aspiration pneumonia </w:t>
            </w:r>
            <w:hyperlink r:id="rId20" w:anchor=":~:text=Conditions%20that%20may%20be%20associated,risk%20of%20developing%20aspiration%20pneumonia." w:history="1">
              <w:r w:rsidRPr="0096069F">
                <w:rPr>
                  <w:rStyle w:val="Hyperlink"/>
                  <w:rFonts w:asciiTheme="minorHAnsi" w:hAnsiTheme="minorHAnsi" w:cstheme="minorHAnsi"/>
                  <w:sz w:val="20"/>
                  <w:szCs w:val="20"/>
                </w:rPr>
                <w:t xml:space="preserve">NHS England » </w:t>
              </w:r>
              <w:proofErr w:type="spellStart"/>
              <w:r w:rsidRPr="0096069F">
                <w:rPr>
                  <w:rStyle w:val="Hyperlink"/>
                  <w:rFonts w:asciiTheme="minorHAnsi" w:hAnsiTheme="minorHAnsi" w:cstheme="minorHAnsi"/>
                  <w:sz w:val="20"/>
                  <w:szCs w:val="20"/>
                </w:rPr>
                <w:t>RightCare</w:t>
              </w:r>
              <w:proofErr w:type="spellEnd"/>
              <w:r w:rsidRPr="0096069F">
                <w:rPr>
                  <w:rStyle w:val="Hyperlink"/>
                  <w:rFonts w:asciiTheme="minorHAnsi" w:hAnsiTheme="minorHAnsi" w:cstheme="minorHAnsi"/>
                  <w:sz w:val="20"/>
                  <w:szCs w:val="20"/>
                </w:rPr>
                <w:t xml:space="preserve"> learning disability and aspiration pneumonia scenario</w:t>
              </w:r>
            </w:hyperlink>
            <w:r w:rsidRPr="0096069F">
              <w:rPr>
                <w:rFonts w:asciiTheme="minorHAnsi" w:hAnsiTheme="minorHAnsi" w:cstheme="minorHAnsi"/>
                <w:sz w:val="20"/>
                <w:szCs w:val="20"/>
              </w:rPr>
              <w:t xml:space="preserve">. </w:t>
            </w:r>
          </w:p>
          <w:p w14:paraId="4E10E11D" w14:textId="0A0845C3" w:rsidR="00A54ACB" w:rsidRPr="0096069F" w:rsidRDefault="00A54ACB" w:rsidP="002F569E">
            <w:pPr>
              <w:rPr>
                <w:rFonts w:asciiTheme="minorHAnsi" w:hAnsiTheme="minorHAnsi" w:cstheme="minorHAnsi"/>
                <w:sz w:val="20"/>
                <w:szCs w:val="20"/>
              </w:rPr>
            </w:pPr>
            <w:r w:rsidRPr="0096069F">
              <w:rPr>
                <w:rFonts w:asciiTheme="minorHAnsi" w:hAnsiTheme="minorHAnsi" w:cstheme="minorHAnsi"/>
                <w:sz w:val="20"/>
                <w:szCs w:val="20"/>
              </w:rPr>
              <w:t xml:space="preserve">The immunisation schedule has been updated ( not made it into the Green Book yet) </w:t>
            </w:r>
            <w:hyperlink r:id="rId21" w:anchor="additional-vaccines-for-individuals-with-underlying-medical-conditions" w:history="1">
              <w:r w:rsidRPr="0096069F">
                <w:rPr>
                  <w:rStyle w:val="Hyperlink"/>
                  <w:rFonts w:asciiTheme="minorHAnsi" w:hAnsiTheme="minorHAnsi" w:cstheme="minorHAnsi"/>
                  <w:sz w:val="20"/>
                  <w:szCs w:val="20"/>
                </w:rPr>
                <w:t>Complete routine immunisation schedule from 1 September 2024 - GOV.UK (www.gov.uk)</w:t>
              </w:r>
            </w:hyperlink>
          </w:p>
          <w:p w14:paraId="1605758C" w14:textId="7C09C926" w:rsidR="00A54ACB" w:rsidRPr="0096069F" w:rsidRDefault="00A54ACB" w:rsidP="002F569E">
            <w:pPr>
              <w:rPr>
                <w:rFonts w:asciiTheme="minorHAnsi" w:hAnsiTheme="minorHAnsi" w:cstheme="minorHAnsi"/>
                <w:sz w:val="20"/>
                <w:szCs w:val="20"/>
              </w:rPr>
            </w:pPr>
          </w:p>
        </w:tc>
      </w:tr>
      <w:tr w:rsidR="00A54ACB" w:rsidRPr="0096069F" w14:paraId="39330CEE" w14:textId="77777777" w:rsidTr="0096069F">
        <w:tc>
          <w:tcPr>
            <w:tcW w:w="11483" w:type="dxa"/>
            <w:shd w:val="clear" w:color="auto" w:fill="D9D9D9" w:themeFill="background1" w:themeFillShade="D9"/>
          </w:tcPr>
          <w:p w14:paraId="7615DCA9" w14:textId="77777777" w:rsidR="00A54ACB" w:rsidRPr="0096069F" w:rsidRDefault="00A54ACB" w:rsidP="00A54ACB">
            <w:pPr>
              <w:rPr>
                <w:rFonts w:asciiTheme="minorHAnsi" w:hAnsiTheme="minorHAnsi" w:cstheme="minorHAnsi"/>
                <w:sz w:val="20"/>
                <w:szCs w:val="20"/>
              </w:rPr>
            </w:pPr>
          </w:p>
          <w:p w14:paraId="7D8D03BC" w14:textId="77777777" w:rsidR="00A54ACB" w:rsidRPr="0096069F" w:rsidRDefault="00A54ACB" w:rsidP="00A54ACB">
            <w:pPr>
              <w:rPr>
                <w:rFonts w:asciiTheme="minorHAnsi" w:hAnsiTheme="minorHAnsi" w:cstheme="minorHAnsi"/>
                <w:sz w:val="20"/>
                <w:szCs w:val="20"/>
              </w:rPr>
            </w:pPr>
            <w:r w:rsidRPr="0096069F">
              <w:rPr>
                <w:rFonts w:asciiTheme="minorHAnsi" w:hAnsiTheme="minorHAnsi" w:cstheme="minorHAnsi"/>
                <w:b/>
                <w:bCs/>
                <w:sz w:val="20"/>
                <w:szCs w:val="20"/>
              </w:rPr>
              <w:t>The Victoria &amp; Stuart Project</w:t>
            </w:r>
            <w:r w:rsidRPr="0096069F">
              <w:rPr>
                <w:rFonts w:asciiTheme="minorHAnsi" w:hAnsiTheme="minorHAnsi" w:cstheme="minorHAnsi"/>
                <w:sz w:val="20"/>
                <w:szCs w:val="20"/>
              </w:rPr>
              <w:t xml:space="preserve"> has co-produced an </w:t>
            </w:r>
            <w:r w:rsidRPr="0096069F">
              <w:rPr>
                <w:rFonts w:asciiTheme="minorHAnsi" w:hAnsiTheme="minorHAnsi" w:cstheme="minorHAnsi"/>
                <w:b/>
                <w:bCs/>
                <w:sz w:val="20"/>
                <w:szCs w:val="20"/>
              </w:rPr>
              <w:t>End-of-Life Care Planning Toolkit.</w:t>
            </w:r>
            <w:r w:rsidRPr="0096069F">
              <w:rPr>
                <w:rFonts w:asciiTheme="minorHAnsi" w:hAnsiTheme="minorHAnsi" w:cstheme="minorHAnsi"/>
                <w:sz w:val="20"/>
                <w:szCs w:val="20"/>
              </w:rPr>
              <w:t xml:space="preserve"> </w:t>
            </w:r>
          </w:p>
          <w:p w14:paraId="126F6D96" w14:textId="77777777" w:rsidR="00A54ACB" w:rsidRPr="0096069F" w:rsidRDefault="00A54ACB" w:rsidP="00A54ACB">
            <w:pPr>
              <w:rPr>
                <w:rFonts w:asciiTheme="minorHAnsi" w:hAnsiTheme="minorHAnsi" w:cstheme="minorHAnsi"/>
                <w:sz w:val="20"/>
                <w:szCs w:val="20"/>
              </w:rPr>
            </w:pPr>
            <w:r w:rsidRPr="0096069F">
              <w:rPr>
                <w:rFonts w:asciiTheme="minorHAnsi" w:hAnsiTheme="minorHAnsi" w:cstheme="minorHAnsi"/>
                <w:sz w:val="20"/>
                <w:szCs w:val="20"/>
              </w:rPr>
              <w:t xml:space="preserve">It has 3 guides that explain how to approach discussions about death, dying and care planning with people with learning disability. </w:t>
            </w:r>
          </w:p>
          <w:p w14:paraId="11BAB1DB" w14:textId="6E13C6FA" w:rsidR="00A54ACB" w:rsidRPr="0096069F" w:rsidRDefault="00A54ACB" w:rsidP="00A54ACB">
            <w:pPr>
              <w:rPr>
                <w:rFonts w:asciiTheme="minorHAnsi" w:hAnsiTheme="minorHAnsi" w:cstheme="minorHAnsi"/>
                <w:sz w:val="20"/>
                <w:szCs w:val="20"/>
              </w:rPr>
            </w:pPr>
            <w:r w:rsidRPr="0096069F">
              <w:rPr>
                <w:rFonts w:asciiTheme="minorHAnsi" w:hAnsiTheme="minorHAnsi" w:cstheme="minorHAnsi"/>
                <w:sz w:val="20"/>
                <w:szCs w:val="20"/>
              </w:rPr>
              <w:t xml:space="preserve">A lot of resources for professionals and people with learning disability. </w:t>
            </w:r>
            <w:hyperlink r:id="rId22" w:history="1">
              <w:r w:rsidRPr="0096069F">
                <w:rPr>
                  <w:rStyle w:val="Hyperlink"/>
                  <w:rFonts w:asciiTheme="minorHAnsi" w:hAnsiTheme="minorHAnsi" w:cstheme="minorHAnsi"/>
                  <w:sz w:val="20"/>
                  <w:szCs w:val="20"/>
                </w:rPr>
                <w:t>End of Life Care Planning Toolkit| Victoria and Stuart</w:t>
              </w:r>
            </w:hyperlink>
          </w:p>
          <w:p w14:paraId="2A0266EB" w14:textId="77777777" w:rsidR="00A54ACB" w:rsidRPr="0096069F" w:rsidRDefault="00A54ACB" w:rsidP="002F569E">
            <w:pPr>
              <w:rPr>
                <w:rFonts w:asciiTheme="minorHAnsi" w:hAnsiTheme="minorHAnsi" w:cstheme="minorHAnsi"/>
                <w:sz w:val="20"/>
                <w:szCs w:val="20"/>
              </w:rPr>
            </w:pPr>
          </w:p>
        </w:tc>
      </w:tr>
      <w:tr w:rsidR="0096069F" w:rsidRPr="0096069F" w14:paraId="4325D044" w14:textId="77777777" w:rsidTr="0096069F">
        <w:tc>
          <w:tcPr>
            <w:tcW w:w="11483" w:type="dxa"/>
            <w:shd w:val="clear" w:color="auto" w:fill="C3C4EE" w:themeFill="accent1" w:themeFillTint="33"/>
          </w:tcPr>
          <w:p w14:paraId="31545A9B" w14:textId="77777777" w:rsidR="0096069F" w:rsidRPr="0096069F" w:rsidRDefault="0096069F" w:rsidP="00A54ACB">
            <w:pPr>
              <w:rPr>
                <w:rFonts w:asciiTheme="minorHAnsi" w:hAnsiTheme="minorHAnsi" w:cstheme="minorHAnsi"/>
                <w:b/>
                <w:bCs/>
                <w:sz w:val="20"/>
                <w:szCs w:val="20"/>
              </w:rPr>
            </w:pPr>
            <w:r w:rsidRPr="0096069F">
              <w:rPr>
                <w:rFonts w:asciiTheme="minorHAnsi" w:hAnsiTheme="minorHAnsi" w:cstheme="minorHAnsi"/>
                <w:b/>
                <w:bCs/>
                <w:sz w:val="20"/>
                <w:szCs w:val="20"/>
              </w:rPr>
              <w:t>Resource pack Learning disability annual health check for care provider and care homes</w:t>
            </w:r>
          </w:p>
          <w:p w14:paraId="58C82BA4" w14:textId="77777777" w:rsidR="0096069F" w:rsidRPr="0096069F" w:rsidRDefault="0096069F" w:rsidP="00A54ACB">
            <w:pPr>
              <w:rPr>
                <w:rFonts w:asciiTheme="minorHAnsi" w:hAnsiTheme="minorHAnsi" w:cstheme="minorHAnsi"/>
                <w:b/>
                <w:bCs/>
                <w:sz w:val="20"/>
                <w:szCs w:val="20"/>
              </w:rPr>
            </w:pPr>
          </w:p>
          <w:p w14:paraId="10F2275F" w14:textId="77777777" w:rsidR="0096069F" w:rsidRPr="0096069F" w:rsidRDefault="0096069F" w:rsidP="00A54ACB">
            <w:pPr>
              <w:rPr>
                <w:rFonts w:asciiTheme="minorHAnsi" w:hAnsiTheme="minorHAnsi" w:cstheme="minorHAnsi"/>
                <w:sz w:val="20"/>
                <w:szCs w:val="20"/>
              </w:rPr>
            </w:pPr>
            <w:r w:rsidRPr="0096069F">
              <w:rPr>
                <w:rFonts w:asciiTheme="minorHAnsi" w:hAnsiTheme="minorHAnsi" w:cstheme="minorHAnsi"/>
                <w:sz w:val="20"/>
                <w:szCs w:val="20"/>
              </w:rPr>
              <w:t>This can be shared with your care homes to raise awareness of the annual health check and help carers and patients to prepare. Includes links to resources and a power point presentation.</w:t>
            </w:r>
          </w:p>
          <w:p w14:paraId="3A82B350" w14:textId="62D05BA4" w:rsidR="0096069F" w:rsidRPr="0096069F" w:rsidRDefault="0096069F" w:rsidP="00A54ACB">
            <w:pPr>
              <w:rPr>
                <w:rFonts w:asciiTheme="minorHAnsi" w:hAnsiTheme="minorHAnsi" w:cstheme="minorHAnsi"/>
                <w:sz w:val="20"/>
                <w:szCs w:val="20"/>
              </w:rPr>
            </w:pPr>
            <w:r w:rsidRPr="0096069F">
              <w:rPr>
                <w:rFonts w:asciiTheme="minorHAnsi" w:hAnsiTheme="minorHAnsi" w:cstheme="minorHAnsi"/>
                <w:sz w:val="20"/>
                <w:szCs w:val="20"/>
              </w:rPr>
              <w:t xml:space="preserve">Attached and soon to be added to Remedy </w:t>
            </w:r>
            <w:hyperlink r:id="rId23" w:history="1">
              <w:r w:rsidRPr="0096069F">
                <w:rPr>
                  <w:rStyle w:val="Hyperlink"/>
                  <w:rFonts w:asciiTheme="minorHAnsi" w:hAnsiTheme="minorHAnsi" w:cstheme="minorHAnsi"/>
                  <w:sz w:val="20"/>
                  <w:szCs w:val="20"/>
                </w:rPr>
                <w:t>Resources for Learning Disability Annual Health Checks and Health Action Plans (Remedy BNSSG ICB)</w:t>
              </w:r>
            </w:hyperlink>
          </w:p>
        </w:tc>
      </w:tr>
      <w:tr w:rsidR="00A54ACB" w:rsidRPr="0096069F" w14:paraId="25151D9F" w14:textId="77777777" w:rsidTr="0096069F">
        <w:tc>
          <w:tcPr>
            <w:tcW w:w="11483" w:type="dxa"/>
            <w:shd w:val="clear" w:color="auto" w:fill="C7DDFD" w:themeFill="accent6" w:themeFillTint="33"/>
          </w:tcPr>
          <w:p w14:paraId="5559A3F1" w14:textId="77777777" w:rsidR="00A54ACB" w:rsidRPr="0096069F" w:rsidRDefault="00A54ACB" w:rsidP="00A54ACB">
            <w:pPr>
              <w:rPr>
                <w:rFonts w:asciiTheme="minorHAnsi" w:hAnsiTheme="minorHAnsi" w:cstheme="minorHAnsi"/>
                <w:b/>
                <w:bCs/>
                <w:sz w:val="20"/>
                <w:szCs w:val="20"/>
              </w:rPr>
            </w:pPr>
            <w:r w:rsidRPr="0096069F">
              <w:rPr>
                <w:rFonts w:asciiTheme="minorHAnsi" w:hAnsiTheme="minorHAnsi" w:cstheme="minorHAnsi"/>
                <w:sz w:val="20"/>
                <w:szCs w:val="20"/>
              </w:rPr>
              <w:t xml:space="preserve">NHSE has created a </w:t>
            </w:r>
            <w:r w:rsidRPr="0096069F">
              <w:rPr>
                <w:rFonts w:asciiTheme="minorHAnsi" w:hAnsiTheme="minorHAnsi" w:cstheme="minorHAnsi"/>
                <w:b/>
                <w:bCs/>
                <w:sz w:val="20"/>
                <w:szCs w:val="20"/>
              </w:rPr>
              <w:t>Find out more about the Learning Disability Register leaflet</w:t>
            </w:r>
          </w:p>
          <w:p w14:paraId="2A0FAF7C" w14:textId="77777777" w:rsidR="00A54ACB" w:rsidRPr="0096069F" w:rsidRDefault="00A54ACB" w:rsidP="00A54ACB">
            <w:pPr>
              <w:rPr>
                <w:rFonts w:asciiTheme="minorHAnsi" w:hAnsiTheme="minorHAnsi" w:cstheme="minorHAnsi"/>
                <w:b/>
                <w:bCs/>
                <w:sz w:val="20"/>
                <w:szCs w:val="20"/>
              </w:rPr>
            </w:pPr>
          </w:p>
          <w:p w14:paraId="6AF3380E" w14:textId="77777777" w:rsidR="00A54ACB" w:rsidRPr="0096069F" w:rsidRDefault="00A54ACB" w:rsidP="00A54ACB">
            <w:pPr>
              <w:rPr>
                <w:rFonts w:asciiTheme="minorHAnsi" w:hAnsiTheme="minorHAnsi" w:cstheme="minorHAnsi"/>
                <w:sz w:val="20"/>
                <w:szCs w:val="20"/>
              </w:rPr>
            </w:pPr>
            <w:r w:rsidRPr="0096069F">
              <w:rPr>
                <w:rFonts w:asciiTheme="minorHAnsi" w:hAnsiTheme="minorHAnsi" w:cstheme="minorHAnsi"/>
                <w:sz w:val="20"/>
                <w:szCs w:val="20"/>
              </w:rPr>
              <w:t>There are versions for parents and carers and versions in easy read for people with learning disability</w:t>
            </w:r>
          </w:p>
          <w:p w14:paraId="0FBA5352" w14:textId="77777777" w:rsidR="00A54ACB" w:rsidRPr="0096069F" w:rsidRDefault="00913EAD" w:rsidP="00A54ACB">
            <w:pPr>
              <w:rPr>
                <w:rFonts w:asciiTheme="minorHAnsi" w:hAnsiTheme="minorHAnsi" w:cstheme="minorHAnsi"/>
                <w:sz w:val="20"/>
                <w:szCs w:val="20"/>
              </w:rPr>
            </w:pPr>
            <w:hyperlink r:id="rId24" w:anchor="heading-1" w:history="1">
              <w:r w:rsidR="00A54ACB" w:rsidRPr="0096069F">
                <w:rPr>
                  <w:rStyle w:val="Hyperlink"/>
                  <w:rFonts w:asciiTheme="minorHAnsi" w:hAnsiTheme="minorHAnsi" w:cstheme="minorHAnsi"/>
                  <w:sz w:val="20"/>
                  <w:szCs w:val="20"/>
                </w:rPr>
                <w:t>NHS England » Find out more about the Learning Disability Register – leaflet</w:t>
              </w:r>
            </w:hyperlink>
          </w:p>
          <w:p w14:paraId="01549642" w14:textId="7A1B295B" w:rsidR="00A54ACB" w:rsidRPr="0096069F" w:rsidRDefault="00A54ACB" w:rsidP="00A54ACB">
            <w:pPr>
              <w:rPr>
                <w:rFonts w:asciiTheme="minorHAnsi" w:hAnsiTheme="minorHAnsi" w:cstheme="minorHAnsi"/>
                <w:sz w:val="20"/>
                <w:szCs w:val="20"/>
              </w:rPr>
            </w:pPr>
            <w:r w:rsidRPr="0096069F">
              <w:rPr>
                <w:rFonts w:asciiTheme="minorHAnsi" w:hAnsiTheme="minorHAnsi" w:cstheme="minorHAnsi"/>
                <w:sz w:val="20"/>
                <w:szCs w:val="20"/>
              </w:rPr>
              <w:t xml:space="preserve">Resources has been added to our Remedy page </w:t>
            </w:r>
            <w:hyperlink r:id="rId25" w:history="1">
              <w:r w:rsidRPr="0096069F">
                <w:rPr>
                  <w:rStyle w:val="Hyperlink"/>
                  <w:rFonts w:asciiTheme="minorHAnsi" w:hAnsiTheme="minorHAnsi" w:cstheme="minorHAnsi"/>
                  <w:sz w:val="20"/>
                  <w:szCs w:val="20"/>
                </w:rPr>
                <w:t>Resources for Learning Disability Annual Health Checks and Health Action Plans (Remedy BNSSG ICB)</w:t>
              </w:r>
            </w:hyperlink>
          </w:p>
        </w:tc>
      </w:tr>
      <w:tr w:rsidR="00A54ACB" w:rsidRPr="0096069F" w14:paraId="1C5F3FE8" w14:textId="77777777" w:rsidTr="0096069F">
        <w:tc>
          <w:tcPr>
            <w:tcW w:w="11483" w:type="dxa"/>
            <w:shd w:val="clear" w:color="auto" w:fill="92D050"/>
          </w:tcPr>
          <w:p w14:paraId="25B18AFE" w14:textId="0391728D" w:rsidR="00A54ACB" w:rsidRPr="0096069F" w:rsidRDefault="00A54ACB" w:rsidP="002F569E">
            <w:pPr>
              <w:rPr>
                <w:rFonts w:asciiTheme="minorHAnsi" w:hAnsiTheme="minorHAnsi" w:cstheme="minorHAnsi"/>
                <w:sz w:val="20"/>
                <w:szCs w:val="20"/>
              </w:rPr>
            </w:pPr>
            <w:r w:rsidRPr="0096069F">
              <w:rPr>
                <w:rFonts w:asciiTheme="minorHAnsi" w:hAnsiTheme="minorHAnsi" w:cstheme="minorHAnsi"/>
                <w:b/>
                <w:bCs/>
                <w:sz w:val="20"/>
                <w:szCs w:val="20"/>
              </w:rPr>
              <w:t>Next learning event “learning disability annual health checks- back to basics</w:t>
            </w:r>
            <w:r w:rsidRPr="0096069F">
              <w:rPr>
                <w:rFonts w:asciiTheme="minorHAnsi" w:hAnsiTheme="minorHAnsi" w:cstheme="minorHAnsi"/>
                <w:sz w:val="20"/>
                <w:szCs w:val="20"/>
              </w:rPr>
              <w:t>”, 29</w:t>
            </w:r>
            <w:r w:rsidRPr="0096069F">
              <w:rPr>
                <w:rFonts w:asciiTheme="minorHAnsi" w:hAnsiTheme="minorHAnsi" w:cstheme="minorHAnsi"/>
                <w:sz w:val="20"/>
                <w:szCs w:val="20"/>
                <w:vertAlign w:val="superscript"/>
              </w:rPr>
              <w:t>th</w:t>
            </w:r>
            <w:r w:rsidRPr="0096069F">
              <w:rPr>
                <w:rFonts w:asciiTheme="minorHAnsi" w:hAnsiTheme="minorHAnsi" w:cstheme="minorHAnsi"/>
                <w:sz w:val="20"/>
                <w:szCs w:val="20"/>
              </w:rPr>
              <w:t xml:space="preserve"> November 24, 12.30-14.00 via Microsoft teams</w:t>
            </w:r>
          </w:p>
          <w:p w14:paraId="23E45054" w14:textId="6BCF21C8" w:rsidR="00A54ACB" w:rsidRPr="0096069F" w:rsidRDefault="00A54ACB" w:rsidP="002F569E">
            <w:pPr>
              <w:rPr>
                <w:rFonts w:asciiTheme="minorHAnsi" w:hAnsiTheme="minorHAnsi" w:cstheme="minorHAnsi"/>
                <w:sz w:val="20"/>
                <w:szCs w:val="20"/>
              </w:rPr>
            </w:pPr>
            <w:r w:rsidRPr="0096069F">
              <w:rPr>
                <w:rFonts w:asciiTheme="minorHAnsi" w:hAnsiTheme="minorHAnsi" w:cstheme="minorHAnsi"/>
                <w:sz w:val="20"/>
                <w:szCs w:val="20"/>
              </w:rPr>
              <w:t xml:space="preserve">This is aimed at clinical and non- clinical primary care staff involved with the learning disability annual health checks. Included introduction to the new </w:t>
            </w:r>
            <w:r w:rsidR="00913EAD" w:rsidRPr="0096069F">
              <w:rPr>
                <w:rFonts w:asciiTheme="minorHAnsi" w:hAnsiTheme="minorHAnsi" w:cstheme="minorHAnsi"/>
                <w:sz w:val="20"/>
                <w:szCs w:val="20"/>
              </w:rPr>
              <w:t>Southwest</w:t>
            </w:r>
            <w:r w:rsidRPr="0096069F">
              <w:rPr>
                <w:rFonts w:asciiTheme="minorHAnsi" w:hAnsiTheme="minorHAnsi" w:cstheme="minorHAnsi"/>
                <w:sz w:val="20"/>
                <w:szCs w:val="20"/>
              </w:rPr>
              <w:t xml:space="preserve"> Annual health check toolkit.</w:t>
            </w:r>
            <w:r w:rsidR="00913EAD">
              <w:rPr>
                <w:rFonts w:asciiTheme="minorHAnsi" w:hAnsiTheme="minorHAnsi" w:cstheme="minorHAnsi"/>
                <w:sz w:val="20"/>
                <w:szCs w:val="20"/>
              </w:rPr>
              <w:t xml:space="preserve"> Please register using the link below:</w:t>
            </w:r>
          </w:p>
          <w:p w14:paraId="102CA915" w14:textId="1F1CFA2C" w:rsidR="00A54ACB" w:rsidRPr="0096069F" w:rsidRDefault="00913EAD" w:rsidP="002F569E">
            <w:pPr>
              <w:rPr>
                <w:rFonts w:asciiTheme="minorHAnsi" w:hAnsiTheme="minorHAnsi" w:cstheme="minorHAnsi"/>
                <w:sz w:val="20"/>
                <w:szCs w:val="20"/>
              </w:rPr>
            </w:pPr>
            <w:hyperlink r:id="rId26" w:history="1">
              <w:r w:rsidRPr="00913EAD">
                <w:rPr>
                  <w:rStyle w:val="Hyperlink"/>
                  <w:rFonts w:asciiTheme="minorHAnsi" w:hAnsiTheme="minorHAnsi" w:cstheme="minorHAnsi"/>
                  <w:sz w:val="20"/>
                  <w:szCs w:val="20"/>
                </w:rPr>
                <w:t>BNSSG Learning Disability Annual Health Checks – Back to Basics Tickets, Tue 26 Nov 2024 at 12:30 | Eventbrite</w:t>
              </w:r>
            </w:hyperlink>
          </w:p>
        </w:tc>
      </w:tr>
      <w:tr w:rsidR="00A54ACB" w:rsidRPr="0096069F" w14:paraId="1407109A" w14:textId="77777777" w:rsidTr="0096069F">
        <w:tc>
          <w:tcPr>
            <w:tcW w:w="11483" w:type="dxa"/>
            <w:shd w:val="clear" w:color="auto" w:fill="C3C4EE" w:themeFill="accent5" w:themeFillTint="33"/>
          </w:tcPr>
          <w:p w14:paraId="0FF70EFF" w14:textId="3EA95262" w:rsidR="00A54ACB" w:rsidRPr="0096069F" w:rsidRDefault="00A54ACB" w:rsidP="002F569E">
            <w:pPr>
              <w:rPr>
                <w:rFonts w:asciiTheme="minorHAnsi" w:hAnsiTheme="minorHAnsi" w:cstheme="minorHAnsi"/>
                <w:sz w:val="20"/>
                <w:szCs w:val="20"/>
              </w:rPr>
            </w:pPr>
            <w:r w:rsidRPr="0096069F">
              <w:rPr>
                <w:rFonts w:asciiTheme="minorHAnsi" w:hAnsiTheme="minorHAnsi" w:cstheme="minorHAnsi"/>
                <w:sz w:val="20"/>
                <w:szCs w:val="20"/>
              </w:rPr>
              <w:t xml:space="preserve">Feedback/questions: </w:t>
            </w:r>
            <w:hyperlink r:id="rId27" w:history="1">
              <w:r w:rsidRPr="0096069F">
                <w:rPr>
                  <w:rStyle w:val="Hyperlink"/>
                  <w:rFonts w:asciiTheme="minorHAnsi" w:hAnsiTheme="minorHAnsi" w:cstheme="minorHAnsi"/>
                  <w:sz w:val="20"/>
                  <w:szCs w:val="20"/>
                </w:rPr>
                <w:t>juliane.matthies@nhs.net</w:t>
              </w:r>
            </w:hyperlink>
            <w:r w:rsidRPr="0096069F">
              <w:rPr>
                <w:rFonts w:asciiTheme="minorHAnsi" w:hAnsiTheme="minorHAnsi" w:cstheme="minorHAnsi"/>
                <w:sz w:val="20"/>
                <w:szCs w:val="20"/>
              </w:rPr>
              <w:t xml:space="preserve"> ICB lead GP learning disability and autism</w:t>
            </w:r>
          </w:p>
        </w:tc>
      </w:tr>
    </w:tbl>
    <w:p w14:paraId="07C9FFE3" w14:textId="77777777" w:rsidR="002F569E" w:rsidRPr="0096069F" w:rsidRDefault="002F569E" w:rsidP="0096069F">
      <w:pPr>
        <w:rPr>
          <w:rFonts w:asciiTheme="minorHAnsi" w:hAnsiTheme="minorHAnsi" w:cstheme="minorHAnsi"/>
          <w:sz w:val="20"/>
          <w:szCs w:val="20"/>
        </w:rPr>
      </w:pPr>
    </w:p>
    <w:sectPr w:rsidR="002F569E" w:rsidRPr="0096069F" w:rsidSect="00C423EF">
      <w:headerReference w:type="even" r:id="rId28"/>
      <w:headerReference w:type="default" r:id="rId29"/>
      <w:footerReference w:type="even" r:id="rId30"/>
      <w:footerReference w:type="default" r:id="rId31"/>
      <w:headerReference w:type="first" r:id="rId32"/>
      <w:footerReference w:type="first" r:id="rId33"/>
      <w:pgSz w:w="11909" w:h="16834" w:code="9"/>
      <w:pgMar w:top="1985" w:right="1080" w:bottom="993"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76733" w14:textId="77777777" w:rsidR="00C423EF" w:rsidRPr="00EF3A62" w:rsidRDefault="00C423EF" w:rsidP="008F7D93">
      <w:r w:rsidRPr="00EF3A62">
        <w:separator/>
      </w:r>
    </w:p>
  </w:endnote>
  <w:endnote w:type="continuationSeparator" w:id="0">
    <w:p w14:paraId="58749E68" w14:textId="77777777" w:rsidR="00C423EF" w:rsidRPr="00EF3A62" w:rsidRDefault="00C423EF" w:rsidP="008F7D93">
      <w:r w:rsidRPr="00EF3A62">
        <w:continuationSeparator/>
      </w:r>
    </w:p>
  </w:endnote>
  <w:endnote w:type="continuationNotice" w:id="1">
    <w:p w14:paraId="1E989EDD" w14:textId="77777777" w:rsidR="00C423EF" w:rsidRPr="00EF3A62" w:rsidRDefault="00C423EF" w:rsidP="008F7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D820" w14:textId="77777777" w:rsidR="00C46028" w:rsidRPr="00EF3A62" w:rsidRDefault="00C4602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698450"/>
      <w:docPartObj>
        <w:docPartGallery w:val="Page Numbers (Bottom of Page)"/>
        <w:docPartUnique/>
      </w:docPartObj>
    </w:sdtPr>
    <w:sdtEndPr/>
    <w:sdtContent>
      <w:p w14:paraId="1187C805" w14:textId="77777777" w:rsidR="00392DE3" w:rsidRPr="00EF3A62" w:rsidRDefault="00392DE3" w:rsidP="00392DE3">
        <w:pPr>
          <w:pStyle w:val="Footer"/>
          <w:jc w:val="center"/>
        </w:pPr>
      </w:p>
      <w:p w14:paraId="32998FD8" w14:textId="270281DB" w:rsidR="00392DE3" w:rsidRPr="00EF3A62" w:rsidRDefault="00236BBD" w:rsidP="00913EAD">
        <w:pPr>
          <w:pStyle w:val="Footer"/>
          <w:jc w:val="center"/>
        </w:pPr>
        <w:r w:rsidRPr="00EF3A62">
          <w:rPr>
            <w:noProof/>
          </w:rPr>
          <w:drawing>
            <wp:inline distT="0" distB="0" distL="0" distR="0" wp14:anchorId="3FFAA61E" wp14:editId="02F2300E">
              <wp:extent cx="1816100" cy="221484"/>
              <wp:effectExtent l="0" t="0" r="0" b="7620"/>
              <wp:docPr id="464299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9287" name="Picture 464299287"/>
                      <pic:cNvPicPr/>
                    </pic:nvPicPr>
                    <pic:blipFill>
                      <a:blip r:embed="rId1">
                        <a:extLst>
                          <a:ext uri="{28A0092B-C50C-407E-A947-70E740481C1C}">
                            <a14:useLocalDpi xmlns:a14="http://schemas.microsoft.com/office/drawing/2010/main" val="0"/>
                          </a:ext>
                        </a:extLst>
                      </a:blip>
                      <a:stretch>
                        <a:fillRect/>
                      </a:stretch>
                    </pic:blipFill>
                    <pic:spPr>
                      <a:xfrm>
                        <a:off x="0" y="0"/>
                        <a:ext cx="1929045" cy="235258"/>
                      </a:xfrm>
                      <a:prstGeom prst="rect">
                        <a:avLst/>
                      </a:prstGeom>
                    </pic:spPr>
                  </pic:pic>
                </a:graphicData>
              </a:graphic>
            </wp:inline>
          </w:drawing>
        </w:r>
        <w:r w:rsidR="004206FD" w:rsidRPr="00EF3A62">
          <w:rPr>
            <w:noProof/>
          </w:rPr>
          <w:drawing>
            <wp:anchor distT="0" distB="0" distL="114300" distR="114300" simplePos="0" relativeHeight="251658240" behindDoc="0" locked="0" layoutInCell="1" allowOverlap="1" wp14:anchorId="3713CEEE" wp14:editId="106D1841">
              <wp:simplePos x="0" y="0"/>
              <wp:positionH relativeFrom="page">
                <wp:posOffset>-6485</wp:posOffset>
              </wp:positionH>
              <wp:positionV relativeFrom="page">
                <wp:posOffset>10642059</wp:posOffset>
              </wp:positionV>
              <wp:extent cx="7586345" cy="64297"/>
              <wp:effectExtent l="0" t="0" r="0" b="0"/>
              <wp:wrapSquare wrapText="bothSides"/>
              <wp:docPr id="2255469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586345" cy="6429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63CB48CA" w14:textId="3A9649CA" w:rsidR="00C46028" w:rsidRPr="00EF3A62" w:rsidRDefault="00C46028">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31A17" w14:textId="637AA2AE" w:rsidR="001D7CF7" w:rsidRPr="00EF3A62" w:rsidRDefault="0030747B" w:rsidP="001D7CF7">
    <w:pPr>
      <w:jc w:val="center"/>
    </w:pPr>
    <w:r w:rsidRPr="00EF3A62">
      <w:fldChar w:fldCharType="begin"/>
    </w:r>
    <w:r w:rsidRPr="00EF3A62">
      <w:instrText xml:space="preserve"> PAGE   \* MERGEFORMAT </w:instrText>
    </w:r>
    <w:r w:rsidRPr="00EF3A62">
      <w:fldChar w:fldCharType="separate"/>
    </w:r>
    <w:r w:rsidRPr="00EF3A62">
      <w:t>1</w:t>
    </w:r>
    <w:r w:rsidRPr="00EF3A62">
      <w:fldChar w:fldCharType="end"/>
    </w:r>
    <w:r w:rsidR="001D7CF7" w:rsidRPr="00EF3A62">
      <w:fldChar w:fldCharType="begin"/>
    </w:r>
    <w:r w:rsidR="001D7CF7" w:rsidRPr="00EF3A62">
      <w:instrText xml:space="preserve"> PAGE   \* MERGEFORMAT </w:instrText>
    </w:r>
    <w:r w:rsidR="001D7CF7" w:rsidRPr="00EF3A62">
      <w:fldChar w:fldCharType="separate"/>
    </w:r>
    <w:r w:rsidR="001D7CF7" w:rsidRPr="00EF3A62">
      <w:t>1</w:t>
    </w:r>
    <w:r w:rsidR="001D7CF7" w:rsidRPr="00EF3A62">
      <w:fldChar w:fldCharType="end"/>
    </w:r>
  </w:p>
  <w:p w14:paraId="0795E1F3" w14:textId="77A9B488" w:rsidR="00C46028" w:rsidRPr="00EF3A62" w:rsidRDefault="00917835" w:rsidP="00041991">
    <w:pPr>
      <w:jc w:val="center"/>
    </w:pPr>
    <w:r w:rsidRPr="00EF3A62">
      <w:rPr>
        <w:noProof/>
      </w:rPr>
      <w:drawing>
        <wp:anchor distT="0" distB="0" distL="114300" distR="114300" simplePos="0" relativeHeight="251658245" behindDoc="0" locked="0" layoutInCell="1" allowOverlap="1" wp14:anchorId="27E64455" wp14:editId="47D84493">
          <wp:simplePos x="0" y="0"/>
          <wp:positionH relativeFrom="page">
            <wp:posOffset>685800</wp:posOffset>
          </wp:positionH>
          <wp:positionV relativeFrom="page">
            <wp:posOffset>11014075</wp:posOffset>
          </wp:positionV>
          <wp:extent cx="7586345" cy="239395"/>
          <wp:effectExtent l="0" t="0" r="0" b="8255"/>
          <wp:wrapSquare wrapText="bothSides"/>
          <wp:docPr id="18946613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586345" cy="23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F8F" w:rsidRPr="00EF3A62">
      <w:rPr>
        <w:noProof/>
      </w:rPr>
      <w:drawing>
        <wp:anchor distT="0" distB="0" distL="114300" distR="114300" simplePos="0" relativeHeight="251658244" behindDoc="0" locked="0" layoutInCell="1" allowOverlap="1" wp14:anchorId="53278FCA" wp14:editId="7876C7EF">
          <wp:simplePos x="0" y="0"/>
          <wp:positionH relativeFrom="page">
            <wp:posOffset>-8890</wp:posOffset>
          </wp:positionH>
          <wp:positionV relativeFrom="page">
            <wp:posOffset>10483560</wp:posOffset>
          </wp:positionV>
          <wp:extent cx="7586345" cy="239395"/>
          <wp:effectExtent l="0" t="0" r="0" b="8255"/>
          <wp:wrapSquare wrapText="bothSides"/>
          <wp:docPr id="8791163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586345" cy="2393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46148" w14:textId="77777777" w:rsidR="00C423EF" w:rsidRPr="00EF3A62" w:rsidRDefault="00C423EF" w:rsidP="008F7D93">
      <w:r w:rsidRPr="00EF3A62">
        <w:separator/>
      </w:r>
    </w:p>
  </w:footnote>
  <w:footnote w:type="continuationSeparator" w:id="0">
    <w:p w14:paraId="4D0101C5" w14:textId="77777777" w:rsidR="00C423EF" w:rsidRPr="00EF3A62" w:rsidRDefault="00C423EF" w:rsidP="008F7D93">
      <w:r w:rsidRPr="00EF3A62">
        <w:continuationSeparator/>
      </w:r>
    </w:p>
  </w:footnote>
  <w:footnote w:type="continuationNotice" w:id="1">
    <w:p w14:paraId="35FF3502" w14:textId="77777777" w:rsidR="00C423EF" w:rsidRPr="00EF3A62" w:rsidRDefault="00C423EF" w:rsidP="008F7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6ECF2" w14:textId="77777777" w:rsidR="00913EAD" w:rsidRDefault="00913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FAA5A" w14:textId="43D1F871" w:rsidR="0043401F" w:rsidRPr="00EF3A62" w:rsidRDefault="009F65CF">
    <w:pPr>
      <w:pStyle w:val="Header"/>
    </w:pPr>
    <w:r w:rsidRPr="00EF3A62">
      <w:rPr>
        <w:noProof/>
      </w:rPr>
      <w:drawing>
        <wp:anchor distT="0" distB="0" distL="114300" distR="114300" simplePos="0" relativeHeight="251658246" behindDoc="0" locked="0" layoutInCell="1" allowOverlap="1" wp14:anchorId="7C75C362" wp14:editId="037C4C06">
          <wp:simplePos x="0" y="0"/>
          <wp:positionH relativeFrom="column">
            <wp:posOffset>4159885</wp:posOffset>
          </wp:positionH>
          <wp:positionV relativeFrom="paragraph">
            <wp:posOffset>362585</wp:posOffset>
          </wp:positionV>
          <wp:extent cx="2065020" cy="683895"/>
          <wp:effectExtent l="0" t="0" r="0" b="1905"/>
          <wp:wrapNone/>
          <wp:docPr id="1851200492"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683895"/>
                  </a:xfrm>
                  <a:prstGeom prst="rect">
                    <a:avLst/>
                  </a:prstGeom>
                  <a:noFill/>
                  <a:ln>
                    <a:noFill/>
                  </a:ln>
                </pic:spPr>
              </pic:pic>
            </a:graphicData>
          </a:graphic>
        </wp:anchor>
      </w:drawing>
    </w:r>
    <w:r w:rsidRPr="00EF3A62">
      <w:rPr>
        <w:noProof/>
      </w:rPr>
      <w:drawing>
        <wp:anchor distT="0" distB="0" distL="114300" distR="114300" simplePos="0" relativeHeight="251658247" behindDoc="0" locked="0" layoutInCell="1" allowOverlap="1" wp14:anchorId="333785E6" wp14:editId="54EB641B">
          <wp:simplePos x="0" y="0"/>
          <wp:positionH relativeFrom="column">
            <wp:posOffset>0</wp:posOffset>
          </wp:positionH>
          <wp:positionV relativeFrom="paragraph">
            <wp:posOffset>359126</wp:posOffset>
          </wp:positionV>
          <wp:extent cx="3145790" cy="688340"/>
          <wp:effectExtent l="0" t="0" r="0" b="0"/>
          <wp:wrapNone/>
          <wp:docPr id="1242571047"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5790" cy="6883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B70C" w14:textId="27868150" w:rsidR="004203CB" w:rsidRPr="00EF3A62" w:rsidRDefault="002B234B" w:rsidP="008F7D93">
    <w:pPr>
      <w:pStyle w:val="Header"/>
    </w:pPr>
    <w:r w:rsidRPr="00EF3A62">
      <w:rPr>
        <w:noProof/>
      </w:rPr>
      <w:drawing>
        <wp:anchor distT="0" distB="0" distL="114300" distR="114300" simplePos="0" relativeHeight="251658242" behindDoc="0" locked="0" layoutInCell="1" allowOverlap="1" wp14:anchorId="753FAFD1" wp14:editId="6E017979">
          <wp:simplePos x="0" y="0"/>
          <wp:positionH relativeFrom="column">
            <wp:posOffset>0</wp:posOffset>
          </wp:positionH>
          <wp:positionV relativeFrom="paragraph">
            <wp:posOffset>171451</wp:posOffset>
          </wp:positionV>
          <wp:extent cx="1752600" cy="383668"/>
          <wp:effectExtent l="0" t="0" r="0" b="0"/>
          <wp:wrapNone/>
          <wp:docPr id="543892813"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836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E00D22" w14:textId="5F5477F8" w:rsidR="004C45E6" w:rsidRPr="00EF3A62" w:rsidRDefault="002B234B" w:rsidP="008F7D93">
    <w:pPr>
      <w:pStyle w:val="Header"/>
    </w:pPr>
    <w:r w:rsidRPr="00EF3A62">
      <w:rPr>
        <w:noProof/>
      </w:rPr>
      <w:drawing>
        <wp:anchor distT="0" distB="0" distL="114300" distR="114300" simplePos="0" relativeHeight="251658243" behindDoc="0" locked="0" layoutInCell="1" allowOverlap="1" wp14:anchorId="2F353B39" wp14:editId="147BD75B">
          <wp:simplePos x="0" y="0"/>
          <wp:positionH relativeFrom="column">
            <wp:posOffset>84438</wp:posOffset>
          </wp:positionH>
          <wp:positionV relativeFrom="paragraph">
            <wp:posOffset>471170</wp:posOffset>
          </wp:positionV>
          <wp:extent cx="6089015" cy="45719"/>
          <wp:effectExtent l="0" t="0" r="0" b="0"/>
          <wp:wrapNone/>
          <wp:docPr id="1811272966" name="Picture 5">
            <a:extLst xmlns:a="http://schemas.openxmlformats.org/drawingml/2006/main">
              <a:ext uri="{FF2B5EF4-FFF2-40B4-BE49-F238E27FC236}">
                <a16:creationId xmlns:a16="http://schemas.microsoft.com/office/drawing/2014/main" id="{78D09F00-20B7-3F85-F8CE-89777230FB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8D09F00-20B7-3F85-F8CE-89777230FBE6}"/>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89015" cy="457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A62">
      <w:rPr>
        <w:noProof/>
      </w:rPr>
      <w:drawing>
        <wp:anchor distT="0" distB="0" distL="114300" distR="114300" simplePos="0" relativeHeight="251658241" behindDoc="0" locked="0" layoutInCell="1" allowOverlap="1" wp14:anchorId="7AE242ED" wp14:editId="499E18BC">
          <wp:simplePos x="0" y="0"/>
          <wp:positionH relativeFrom="column">
            <wp:posOffset>5022850</wp:posOffset>
          </wp:positionH>
          <wp:positionV relativeFrom="paragraph">
            <wp:posOffset>8890</wp:posOffset>
          </wp:positionV>
          <wp:extent cx="1066800" cy="353319"/>
          <wp:effectExtent l="0" t="0" r="0" b="8890"/>
          <wp:wrapNone/>
          <wp:docPr id="1952092664"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35331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A017C"/>
    <w:multiLevelType w:val="hybridMultilevel"/>
    <w:tmpl w:val="A8C03706"/>
    <w:lvl w:ilvl="0" w:tplc="5A8894B2">
      <w:start w:val="1"/>
      <w:numFmt w:val="bullet"/>
      <w:pStyle w:val="Bullets"/>
      <w:lvlText w:val=""/>
      <w:lvlJc w:val="left"/>
      <w:pPr>
        <w:ind w:left="1440" w:hanging="360"/>
      </w:pPr>
      <w:rPr>
        <w:rFonts w:ascii="Symbol" w:hAnsi="Symbol" w:hint="default"/>
        <w:color w:val="1C1F63"/>
        <w:u w:color="1C1F63" w:themeColor="text1"/>
      </w:rPr>
    </w:lvl>
    <w:lvl w:ilvl="1" w:tplc="6256E598">
      <w:start w:val="1"/>
      <w:numFmt w:val="bullet"/>
      <w:lvlText w:val=""/>
      <w:lvlJc w:val="left"/>
      <w:pPr>
        <w:ind w:left="2160" w:hanging="360"/>
      </w:pPr>
      <w:rPr>
        <w:rFonts w:ascii="Wingdings" w:hAnsi="Wingdings" w:hint="default"/>
        <w:color w:val="1C1F63"/>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DC386E"/>
    <w:multiLevelType w:val="hybridMultilevel"/>
    <w:tmpl w:val="CF66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8606BF"/>
    <w:multiLevelType w:val="hybridMultilevel"/>
    <w:tmpl w:val="02189A00"/>
    <w:lvl w:ilvl="0" w:tplc="22E40FDC">
      <w:start w:val="1"/>
      <w:numFmt w:val="bullet"/>
      <w:lvlText w:val=""/>
      <w:lvlJc w:val="left"/>
      <w:pPr>
        <w:ind w:left="1440" w:hanging="360"/>
      </w:pPr>
      <w:rPr>
        <w:rFonts w:ascii="Symbol" w:hAnsi="Symbol" w:hint="default"/>
        <w:u w:color="1C1F6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FD056C6"/>
    <w:multiLevelType w:val="hybridMultilevel"/>
    <w:tmpl w:val="5EE4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444778">
    <w:abstractNumId w:val="2"/>
  </w:num>
  <w:num w:numId="2" w16cid:durableId="2035573269">
    <w:abstractNumId w:val="0"/>
  </w:num>
  <w:num w:numId="3" w16cid:durableId="2078243114">
    <w:abstractNumId w:val="1"/>
  </w:num>
  <w:num w:numId="4" w16cid:durableId="1908419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6"/>
    <w:rsid w:val="00001256"/>
    <w:rsid w:val="0000527F"/>
    <w:rsid w:val="00006CFF"/>
    <w:rsid w:val="00024844"/>
    <w:rsid w:val="0003731C"/>
    <w:rsid w:val="00041991"/>
    <w:rsid w:val="00042107"/>
    <w:rsid w:val="000615EE"/>
    <w:rsid w:val="00082A01"/>
    <w:rsid w:val="00097A66"/>
    <w:rsid w:val="0009D228"/>
    <w:rsid w:val="000B1964"/>
    <w:rsid w:val="000D737C"/>
    <w:rsid w:val="000D76C8"/>
    <w:rsid w:val="00124668"/>
    <w:rsid w:val="00136B01"/>
    <w:rsid w:val="00162280"/>
    <w:rsid w:val="00165120"/>
    <w:rsid w:val="00166BBB"/>
    <w:rsid w:val="00167C5C"/>
    <w:rsid w:val="00167E4A"/>
    <w:rsid w:val="00173DE4"/>
    <w:rsid w:val="00180936"/>
    <w:rsid w:val="00193E0D"/>
    <w:rsid w:val="001A3167"/>
    <w:rsid w:val="001A3200"/>
    <w:rsid w:val="001B7B44"/>
    <w:rsid w:val="001D7CF7"/>
    <w:rsid w:val="001F2B6B"/>
    <w:rsid w:val="00202D24"/>
    <w:rsid w:val="002066AB"/>
    <w:rsid w:val="002256F7"/>
    <w:rsid w:val="00236BBD"/>
    <w:rsid w:val="00242141"/>
    <w:rsid w:val="0025149E"/>
    <w:rsid w:val="002625EA"/>
    <w:rsid w:val="00264C16"/>
    <w:rsid w:val="00266657"/>
    <w:rsid w:val="002701E2"/>
    <w:rsid w:val="00271AFE"/>
    <w:rsid w:val="00272238"/>
    <w:rsid w:val="00283C79"/>
    <w:rsid w:val="002A7AEC"/>
    <w:rsid w:val="002B234B"/>
    <w:rsid w:val="002B7AB4"/>
    <w:rsid w:val="002C0956"/>
    <w:rsid w:val="002C2763"/>
    <w:rsid w:val="002C6F8D"/>
    <w:rsid w:val="002D7925"/>
    <w:rsid w:val="002E4668"/>
    <w:rsid w:val="002E60B0"/>
    <w:rsid w:val="002E7EB4"/>
    <w:rsid w:val="002F0A54"/>
    <w:rsid w:val="002F243A"/>
    <w:rsid w:val="002F569E"/>
    <w:rsid w:val="0030747B"/>
    <w:rsid w:val="003213E5"/>
    <w:rsid w:val="00327BCF"/>
    <w:rsid w:val="0035000D"/>
    <w:rsid w:val="00362423"/>
    <w:rsid w:val="00366AB4"/>
    <w:rsid w:val="003751DD"/>
    <w:rsid w:val="00392DE3"/>
    <w:rsid w:val="00392E58"/>
    <w:rsid w:val="003A295E"/>
    <w:rsid w:val="003A7CC3"/>
    <w:rsid w:val="003B64BD"/>
    <w:rsid w:val="003D2C31"/>
    <w:rsid w:val="003D3372"/>
    <w:rsid w:val="003D3815"/>
    <w:rsid w:val="003F18EF"/>
    <w:rsid w:val="004124B7"/>
    <w:rsid w:val="00413606"/>
    <w:rsid w:val="004203CB"/>
    <w:rsid w:val="004206FD"/>
    <w:rsid w:val="00421E30"/>
    <w:rsid w:val="0042343F"/>
    <w:rsid w:val="0043292E"/>
    <w:rsid w:val="0043401F"/>
    <w:rsid w:val="00440537"/>
    <w:rsid w:val="004478C1"/>
    <w:rsid w:val="00467817"/>
    <w:rsid w:val="004705A4"/>
    <w:rsid w:val="0047703A"/>
    <w:rsid w:val="00477D34"/>
    <w:rsid w:val="004803F3"/>
    <w:rsid w:val="004857D6"/>
    <w:rsid w:val="0049162E"/>
    <w:rsid w:val="004A5EF6"/>
    <w:rsid w:val="004C07D8"/>
    <w:rsid w:val="004C45E6"/>
    <w:rsid w:val="004D0430"/>
    <w:rsid w:val="004F55EE"/>
    <w:rsid w:val="00503FF4"/>
    <w:rsid w:val="005062CF"/>
    <w:rsid w:val="00525E03"/>
    <w:rsid w:val="00536AB2"/>
    <w:rsid w:val="00541C8D"/>
    <w:rsid w:val="00552EEF"/>
    <w:rsid w:val="005718E7"/>
    <w:rsid w:val="005922A7"/>
    <w:rsid w:val="005B5DC3"/>
    <w:rsid w:val="005B6A92"/>
    <w:rsid w:val="005C11C0"/>
    <w:rsid w:val="005D265D"/>
    <w:rsid w:val="005D38D4"/>
    <w:rsid w:val="006001EA"/>
    <w:rsid w:val="0060055F"/>
    <w:rsid w:val="00610607"/>
    <w:rsid w:val="00621DD3"/>
    <w:rsid w:val="00640023"/>
    <w:rsid w:val="00641F03"/>
    <w:rsid w:val="0066439E"/>
    <w:rsid w:val="006B1714"/>
    <w:rsid w:val="006B19EE"/>
    <w:rsid w:val="006C4CC0"/>
    <w:rsid w:val="006D35F1"/>
    <w:rsid w:val="006D53D1"/>
    <w:rsid w:val="006D79FC"/>
    <w:rsid w:val="006E79E7"/>
    <w:rsid w:val="006F5746"/>
    <w:rsid w:val="007316B3"/>
    <w:rsid w:val="00733D06"/>
    <w:rsid w:val="0074157A"/>
    <w:rsid w:val="00744C9D"/>
    <w:rsid w:val="007512D7"/>
    <w:rsid w:val="00763B8A"/>
    <w:rsid w:val="00770540"/>
    <w:rsid w:val="007740FD"/>
    <w:rsid w:val="00781ED0"/>
    <w:rsid w:val="00782F52"/>
    <w:rsid w:val="007A7DDA"/>
    <w:rsid w:val="007B7C0D"/>
    <w:rsid w:val="007C0DCF"/>
    <w:rsid w:val="007D1F8F"/>
    <w:rsid w:val="007E1896"/>
    <w:rsid w:val="007E6304"/>
    <w:rsid w:val="00800083"/>
    <w:rsid w:val="008032A2"/>
    <w:rsid w:val="00804088"/>
    <w:rsid w:val="00806EB4"/>
    <w:rsid w:val="00816988"/>
    <w:rsid w:val="00821848"/>
    <w:rsid w:val="00867F20"/>
    <w:rsid w:val="00873B77"/>
    <w:rsid w:val="00894417"/>
    <w:rsid w:val="008966D0"/>
    <w:rsid w:val="008B01BB"/>
    <w:rsid w:val="008B0907"/>
    <w:rsid w:val="008F2014"/>
    <w:rsid w:val="008F53AE"/>
    <w:rsid w:val="008F7D93"/>
    <w:rsid w:val="00913B7A"/>
    <w:rsid w:val="00913EAD"/>
    <w:rsid w:val="00917835"/>
    <w:rsid w:val="00922DF6"/>
    <w:rsid w:val="009252D6"/>
    <w:rsid w:val="00946BEE"/>
    <w:rsid w:val="00956071"/>
    <w:rsid w:val="0096069F"/>
    <w:rsid w:val="00961464"/>
    <w:rsid w:val="0097576D"/>
    <w:rsid w:val="00991D41"/>
    <w:rsid w:val="009A1042"/>
    <w:rsid w:val="009B4DEF"/>
    <w:rsid w:val="009C362A"/>
    <w:rsid w:val="009C581C"/>
    <w:rsid w:val="009F43D6"/>
    <w:rsid w:val="009F65CF"/>
    <w:rsid w:val="00A01356"/>
    <w:rsid w:val="00A02D1C"/>
    <w:rsid w:val="00A032EE"/>
    <w:rsid w:val="00A06FEE"/>
    <w:rsid w:val="00A12EEC"/>
    <w:rsid w:val="00A13822"/>
    <w:rsid w:val="00A16E37"/>
    <w:rsid w:val="00A34273"/>
    <w:rsid w:val="00A4757B"/>
    <w:rsid w:val="00A54ACB"/>
    <w:rsid w:val="00A72DF4"/>
    <w:rsid w:val="00A85B06"/>
    <w:rsid w:val="00AA54A0"/>
    <w:rsid w:val="00AB274C"/>
    <w:rsid w:val="00AB45A7"/>
    <w:rsid w:val="00AC0DB2"/>
    <w:rsid w:val="00AE63FA"/>
    <w:rsid w:val="00AE79FA"/>
    <w:rsid w:val="00AF2213"/>
    <w:rsid w:val="00AF3F45"/>
    <w:rsid w:val="00B024E8"/>
    <w:rsid w:val="00B053E7"/>
    <w:rsid w:val="00B44C60"/>
    <w:rsid w:val="00B4515A"/>
    <w:rsid w:val="00B55ED7"/>
    <w:rsid w:val="00B60EDB"/>
    <w:rsid w:val="00B86278"/>
    <w:rsid w:val="00BB4B3A"/>
    <w:rsid w:val="00BB6080"/>
    <w:rsid w:val="00BC2928"/>
    <w:rsid w:val="00BC29B9"/>
    <w:rsid w:val="00BE21F2"/>
    <w:rsid w:val="00BF59AB"/>
    <w:rsid w:val="00C0090E"/>
    <w:rsid w:val="00C01832"/>
    <w:rsid w:val="00C07FE9"/>
    <w:rsid w:val="00C12115"/>
    <w:rsid w:val="00C1261E"/>
    <w:rsid w:val="00C31347"/>
    <w:rsid w:val="00C35D96"/>
    <w:rsid w:val="00C378EB"/>
    <w:rsid w:val="00C40403"/>
    <w:rsid w:val="00C419F6"/>
    <w:rsid w:val="00C423EF"/>
    <w:rsid w:val="00C451CD"/>
    <w:rsid w:val="00C46028"/>
    <w:rsid w:val="00C51CC1"/>
    <w:rsid w:val="00C5215A"/>
    <w:rsid w:val="00C66C49"/>
    <w:rsid w:val="00C737D3"/>
    <w:rsid w:val="00C804CB"/>
    <w:rsid w:val="00C9472C"/>
    <w:rsid w:val="00CA0992"/>
    <w:rsid w:val="00CB550A"/>
    <w:rsid w:val="00CC69FF"/>
    <w:rsid w:val="00CE0CB6"/>
    <w:rsid w:val="00CF223C"/>
    <w:rsid w:val="00CF2E2F"/>
    <w:rsid w:val="00D0200D"/>
    <w:rsid w:val="00D14C4C"/>
    <w:rsid w:val="00D22076"/>
    <w:rsid w:val="00D23755"/>
    <w:rsid w:val="00D25B58"/>
    <w:rsid w:val="00D400A9"/>
    <w:rsid w:val="00D423FB"/>
    <w:rsid w:val="00D42D1E"/>
    <w:rsid w:val="00D45269"/>
    <w:rsid w:val="00D518F9"/>
    <w:rsid w:val="00D52B14"/>
    <w:rsid w:val="00D6392B"/>
    <w:rsid w:val="00D70EB7"/>
    <w:rsid w:val="00D77307"/>
    <w:rsid w:val="00DA4766"/>
    <w:rsid w:val="00DB09EE"/>
    <w:rsid w:val="00DD50E9"/>
    <w:rsid w:val="00DE4731"/>
    <w:rsid w:val="00DE704D"/>
    <w:rsid w:val="00DE772B"/>
    <w:rsid w:val="00E0693A"/>
    <w:rsid w:val="00E13AD5"/>
    <w:rsid w:val="00E4144B"/>
    <w:rsid w:val="00E60EC0"/>
    <w:rsid w:val="00E67B06"/>
    <w:rsid w:val="00E82EA5"/>
    <w:rsid w:val="00E83A06"/>
    <w:rsid w:val="00EA5550"/>
    <w:rsid w:val="00EB01A8"/>
    <w:rsid w:val="00EB1483"/>
    <w:rsid w:val="00EB2B3B"/>
    <w:rsid w:val="00EB691A"/>
    <w:rsid w:val="00EC47E4"/>
    <w:rsid w:val="00ED4277"/>
    <w:rsid w:val="00EE7378"/>
    <w:rsid w:val="00EF3A62"/>
    <w:rsid w:val="00F0444E"/>
    <w:rsid w:val="00F06381"/>
    <w:rsid w:val="00F12428"/>
    <w:rsid w:val="00F371D2"/>
    <w:rsid w:val="00F54E89"/>
    <w:rsid w:val="00F56A74"/>
    <w:rsid w:val="00F572BF"/>
    <w:rsid w:val="00F82749"/>
    <w:rsid w:val="00F94417"/>
    <w:rsid w:val="00FA2EB3"/>
    <w:rsid w:val="00FA3427"/>
    <w:rsid w:val="00FD34FD"/>
    <w:rsid w:val="00FF27BD"/>
    <w:rsid w:val="28CDCB61"/>
    <w:rsid w:val="37426E97"/>
    <w:rsid w:val="5A715453"/>
    <w:rsid w:val="63FA52FC"/>
    <w:rsid w:val="7D4C73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07954"/>
  <w15:chartTrackingRefBased/>
  <w15:docId w15:val="{130E13EC-F8D3-4979-AAA5-3E7258E3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locked="1" w:uiPriority="47"/>
    <w:lsdException w:name="List Table 3"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36AB2"/>
    <w:rPr>
      <w:rFonts w:ascii="Arial" w:hAnsi="Arial"/>
      <w:sz w:val="24"/>
      <w:lang w:val="en-GB"/>
    </w:rPr>
  </w:style>
  <w:style w:type="paragraph" w:styleId="Heading1">
    <w:name w:val="heading 1"/>
    <w:basedOn w:val="Normal"/>
    <w:next w:val="Normal"/>
    <w:link w:val="Heading1Char"/>
    <w:uiPriority w:val="9"/>
    <w:semiHidden/>
    <w:rsid w:val="005B5DC3"/>
    <w:pPr>
      <w:keepNext/>
      <w:keepLines/>
      <w:spacing w:before="240" w:after="0"/>
      <w:outlineLvl w:val="0"/>
    </w:pPr>
    <w:rPr>
      <w:rFonts w:asciiTheme="majorHAnsi" w:eastAsiaTheme="majorEastAsia" w:hAnsiTheme="majorHAnsi" w:cstheme="majorBidi"/>
      <w:color w:val="15174A"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4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AE"/>
    <w:rPr>
      <w:rFonts w:ascii="Arial" w:hAnsi="Arial"/>
      <w:color w:val="1C1F63" w:themeColor="text1"/>
      <w:sz w:val="24"/>
    </w:rPr>
  </w:style>
  <w:style w:type="paragraph" w:styleId="Footer">
    <w:name w:val="footer"/>
    <w:basedOn w:val="Normal"/>
    <w:link w:val="FooterChar"/>
    <w:uiPriority w:val="99"/>
    <w:semiHidden/>
    <w:rsid w:val="006E79E7"/>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semiHidden/>
    <w:rsid w:val="00A34273"/>
    <w:rPr>
      <w:rFonts w:ascii="Arial" w:hAnsi="Arial"/>
      <w:sz w:val="20"/>
    </w:rPr>
  </w:style>
  <w:style w:type="character" w:styleId="CommentReference">
    <w:name w:val="annotation reference"/>
    <w:basedOn w:val="DefaultParagraphFont"/>
    <w:uiPriority w:val="99"/>
    <w:semiHidden/>
    <w:rsid w:val="00782F52"/>
    <w:rPr>
      <w:sz w:val="16"/>
      <w:szCs w:val="16"/>
    </w:rPr>
  </w:style>
  <w:style w:type="paragraph" w:styleId="CommentText">
    <w:name w:val="annotation text"/>
    <w:basedOn w:val="Normal"/>
    <w:link w:val="CommentTextChar"/>
    <w:uiPriority w:val="99"/>
    <w:semiHidden/>
    <w:rsid w:val="00782F52"/>
    <w:pPr>
      <w:spacing w:line="240" w:lineRule="auto"/>
    </w:pPr>
    <w:rPr>
      <w:sz w:val="20"/>
      <w:szCs w:val="20"/>
    </w:rPr>
  </w:style>
  <w:style w:type="character" w:customStyle="1" w:styleId="CommentTextChar">
    <w:name w:val="Comment Text Char"/>
    <w:basedOn w:val="DefaultParagraphFont"/>
    <w:link w:val="CommentText"/>
    <w:uiPriority w:val="99"/>
    <w:semiHidden/>
    <w:rsid w:val="008F53AE"/>
    <w:rPr>
      <w:rFonts w:ascii="Arial" w:hAnsi="Arial"/>
      <w:color w:val="1C1F63" w:themeColor="text1"/>
      <w:sz w:val="20"/>
      <w:szCs w:val="20"/>
    </w:rPr>
  </w:style>
  <w:style w:type="paragraph" w:styleId="CommentSubject">
    <w:name w:val="annotation subject"/>
    <w:basedOn w:val="CommentText"/>
    <w:next w:val="CommentText"/>
    <w:link w:val="CommentSubjectChar"/>
    <w:uiPriority w:val="99"/>
    <w:semiHidden/>
    <w:rsid w:val="00782F52"/>
    <w:rPr>
      <w:b/>
      <w:bCs/>
    </w:rPr>
  </w:style>
  <w:style w:type="character" w:customStyle="1" w:styleId="CommentSubjectChar">
    <w:name w:val="Comment Subject Char"/>
    <w:basedOn w:val="CommentTextChar"/>
    <w:link w:val="CommentSubject"/>
    <w:uiPriority w:val="99"/>
    <w:semiHidden/>
    <w:rsid w:val="008F53AE"/>
    <w:rPr>
      <w:rFonts w:ascii="Arial" w:hAnsi="Arial"/>
      <w:b/>
      <w:bCs/>
      <w:color w:val="1C1F63" w:themeColor="text1"/>
      <w:sz w:val="20"/>
      <w:szCs w:val="20"/>
    </w:rPr>
  </w:style>
  <w:style w:type="character" w:styleId="Emphasis">
    <w:name w:val="Emphasis"/>
    <w:basedOn w:val="DefaultParagraphFont"/>
    <w:uiPriority w:val="20"/>
    <w:qFormat/>
    <w:rsid w:val="0000527F"/>
    <w:rPr>
      <w:rFonts w:ascii="Arial" w:hAnsi="Arial"/>
      <w:b/>
      <w:i w:val="0"/>
      <w:iCs/>
      <w:sz w:val="24"/>
    </w:rPr>
  </w:style>
  <w:style w:type="paragraph" w:styleId="Title">
    <w:name w:val="Title"/>
    <w:basedOn w:val="Normal"/>
    <w:next w:val="Normal"/>
    <w:link w:val="TitleChar"/>
    <w:uiPriority w:val="10"/>
    <w:qFormat/>
    <w:rsid w:val="00F06381"/>
    <w:pPr>
      <w:spacing w:after="0" w:line="240" w:lineRule="auto"/>
      <w:contextualSpacing/>
    </w:pPr>
    <w:rPr>
      <w:rFonts w:ascii="Arial Black" w:eastAsiaTheme="majorEastAsia" w:hAnsi="Arial Black" w:cstheme="majorBidi"/>
      <w:color w:val="1C1F63"/>
      <w:spacing w:val="-10"/>
      <w:kern w:val="28"/>
      <w:sz w:val="56"/>
      <w:szCs w:val="56"/>
    </w:rPr>
  </w:style>
  <w:style w:type="character" w:customStyle="1" w:styleId="TitleChar">
    <w:name w:val="Title Char"/>
    <w:basedOn w:val="DefaultParagraphFont"/>
    <w:link w:val="Title"/>
    <w:uiPriority w:val="10"/>
    <w:rsid w:val="00640023"/>
    <w:rPr>
      <w:rFonts w:ascii="Arial Black" w:eastAsiaTheme="majorEastAsia" w:hAnsi="Arial Black" w:cstheme="majorBidi"/>
      <w:color w:val="1C1F63"/>
      <w:spacing w:val="-10"/>
      <w:kern w:val="28"/>
      <w:sz w:val="56"/>
      <w:szCs w:val="56"/>
    </w:rPr>
  </w:style>
  <w:style w:type="paragraph" w:styleId="Subtitle">
    <w:name w:val="Subtitle"/>
    <w:basedOn w:val="Normal"/>
    <w:next w:val="Normal"/>
    <w:link w:val="SubtitleChar"/>
    <w:uiPriority w:val="11"/>
    <w:qFormat/>
    <w:rsid w:val="008F53AE"/>
    <w:pPr>
      <w:numPr>
        <w:ilvl w:val="1"/>
      </w:numPr>
    </w:pPr>
    <w:rPr>
      <w:rFonts w:ascii="Arial Black" w:eastAsiaTheme="minorEastAsia" w:hAnsi="Arial Black"/>
      <w:color w:val="1C1F63"/>
      <w:spacing w:val="15"/>
    </w:rPr>
  </w:style>
  <w:style w:type="character" w:customStyle="1" w:styleId="SubtitleChar">
    <w:name w:val="Subtitle Char"/>
    <w:basedOn w:val="DefaultParagraphFont"/>
    <w:link w:val="Subtitle"/>
    <w:uiPriority w:val="11"/>
    <w:rsid w:val="007B7C0D"/>
    <w:rPr>
      <w:rFonts w:ascii="Arial Black" w:eastAsiaTheme="minorEastAsia" w:hAnsi="Arial Black"/>
      <w:color w:val="1C1F63"/>
      <w:spacing w:val="15"/>
      <w:sz w:val="24"/>
    </w:rPr>
  </w:style>
  <w:style w:type="paragraph" w:styleId="ListParagraph">
    <w:name w:val="List Paragraph"/>
    <w:basedOn w:val="Normal"/>
    <w:uiPriority w:val="34"/>
    <w:qFormat/>
    <w:rsid w:val="00413606"/>
    <w:pPr>
      <w:ind w:left="720"/>
      <w:contextualSpacing/>
    </w:pPr>
  </w:style>
  <w:style w:type="paragraph" w:customStyle="1" w:styleId="Bullets">
    <w:name w:val="Bullets"/>
    <w:basedOn w:val="ListParagraph"/>
    <w:uiPriority w:val="2"/>
    <w:qFormat/>
    <w:rsid w:val="00F371D2"/>
    <w:pPr>
      <w:numPr>
        <w:numId w:val="2"/>
      </w:numPr>
      <w:ind w:left="1077" w:hanging="357"/>
    </w:pPr>
  </w:style>
  <w:style w:type="table" w:styleId="TableGrid">
    <w:name w:val="Table Grid"/>
    <w:basedOn w:val="TableNormal"/>
    <w:uiPriority w:val="39"/>
    <w:rsid w:val="00AE79F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D50E9"/>
    <w:pPr>
      <w:spacing w:after="0" w:line="240" w:lineRule="auto"/>
    </w:pPr>
    <w:rPr>
      <w:sz w:val="24"/>
    </w:rPr>
    <w:tblPr>
      <w:tblStyleRowBandSize w:val="1"/>
      <w:tblStyleColBandSize w:val="1"/>
      <w:tblBorders>
        <w:top w:val="single" w:sz="4" w:space="0" w:color="4B50CC" w:themeColor="text1" w:themeTint="99"/>
        <w:left w:val="single" w:sz="4" w:space="0" w:color="4B50CC" w:themeColor="text1" w:themeTint="99"/>
        <w:bottom w:val="single" w:sz="4" w:space="0" w:color="4B50CC" w:themeColor="text1" w:themeTint="99"/>
        <w:right w:val="single" w:sz="4" w:space="0" w:color="4B50CC" w:themeColor="text1" w:themeTint="99"/>
        <w:insideH w:val="single" w:sz="4" w:space="0" w:color="4B50CC" w:themeColor="text1" w:themeTint="99"/>
        <w:insideV w:val="single" w:sz="4" w:space="0" w:color="4B50CC" w:themeColor="text1" w:themeTint="99"/>
      </w:tblBorders>
    </w:tblPr>
    <w:tcPr>
      <w:shd w:val="clear" w:color="auto" w:fill="auto"/>
    </w:tcPr>
    <w:tblStylePr w:type="firstRow">
      <w:rPr>
        <w:b/>
        <w:bCs/>
        <w:color w:val="FFFFFF" w:themeColor="background1"/>
      </w:rPr>
      <w:tblPr/>
      <w:tcPr>
        <w:tcBorders>
          <w:top w:val="single" w:sz="4" w:space="0" w:color="1C1F63" w:themeColor="text1"/>
          <w:left w:val="single" w:sz="4" w:space="0" w:color="1C1F63" w:themeColor="text1"/>
          <w:bottom w:val="single" w:sz="4" w:space="0" w:color="1C1F63" w:themeColor="text1"/>
          <w:right w:val="single" w:sz="4" w:space="0" w:color="1C1F63" w:themeColor="text1"/>
          <w:insideH w:val="nil"/>
          <w:insideV w:val="nil"/>
        </w:tcBorders>
        <w:shd w:val="clear" w:color="auto" w:fill="1C1F63" w:themeFill="text1"/>
      </w:tcPr>
    </w:tblStylePr>
    <w:tblStylePr w:type="lastRow">
      <w:rPr>
        <w:b/>
        <w:bCs/>
      </w:rPr>
      <w:tblPr/>
      <w:tcPr>
        <w:tcBorders>
          <w:top w:val="double" w:sz="4" w:space="0" w:color="1C1F63" w:themeColor="text1"/>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tblStylePr w:type="band2Horz">
      <w:tblPr/>
      <w:tcPr>
        <w:shd w:val="clear" w:color="auto" w:fill="FFFFFF" w:themeFill="background1"/>
      </w:tcPr>
    </w:tblStylePr>
  </w:style>
  <w:style w:type="table" w:styleId="GridTable4-Accent1">
    <w:name w:val="Grid Table 4 Accent 1"/>
    <w:basedOn w:val="TableNormal"/>
    <w:uiPriority w:val="49"/>
    <w:locked/>
    <w:rsid w:val="00816988"/>
    <w:pPr>
      <w:spacing w:after="0" w:line="240" w:lineRule="auto"/>
    </w:pPr>
    <w:tblPr>
      <w:tblStyleRowBandSize w:val="1"/>
      <w:tblStyleColBandSize w:val="1"/>
      <w:tblBorders>
        <w:top w:val="single" w:sz="4" w:space="0" w:color="4B50CC" w:themeColor="accent1" w:themeTint="99"/>
        <w:left w:val="single" w:sz="4" w:space="0" w:color="4B50CC" w:themeColor="accent1" w:themeTint="99"/>
        <w:bottom w:val="single" w:sz="4" w:space="0" w:color="4B50CC" w:themeColor="accent1" w:themeTint="99"/>
        <w:right w:val="single" w:sz="4" w:space="0" w:color="4B50CC" w:themeColor="accent1" w:themeTint="99"/>
        <w:insideH w:val="single" w:sz="4" w:space="0" w:color="4B50CC" w:themeColor="accent1" w:themeTint="99"/>
        <w:insideV w:val="single" w:sz="4" w:space="0" w:color="4B50CC" w:themeColor="accent1" w:themeTint="99"/>
      </w:tblBorders>
    </w:tblPr>
    <w:tblStylePr w:type="firstRow">
      <w:rPr>
        <w:b/>
        <w:bCs/>
        <w:color w:val="FFFFFF" w:themeColor="background1"/>
      </w:rPr>
      <w:tblPr/>
      <w:tcPr>
        <w:tcBorders>
          <w:top w:val="single" w:sz="4" w:space="0" w:color="1C1F63" w:themeColor="accent1"/>
          <w:left w:val="single" w:sz="4" w:space="0" w:color="1C1F63" w:themeColor="accent1"/>
          <w:bottom w:val="single" w:sz="4" w:space="0" w:color="1C1F63" w:themeColor="accent1"/>
          <w:right w:val="single" w:sz="4" w:space="0" w:color="1C1F63" w:themeColor="accent1"/>
          <w:insideH w:val="nil"/>
          <w:insideV w:val="nil"/>
        </w:tcBorders>
        <w:shd w:val="clear" w:color="auto" w:fill="1C1F63" w:themeFill="accent1"/>
      </w:tcPr>
    </w:tblStylePr>
    <w:tblStylePr w:type="lastRow">
      <w:rPr>
        <w:b/>
        <w:bCs/>
      </w:rPr>
      <w:tblPr/>
      <w:tcPr>
        <w:tcBorders>
          <w:top w:val="double" w:sz="4" w:space="0" w:color="1C1F63" w:themeColor="accent1"/>
        </w:tcBorders>
      </w:tcPr>
    </w:tblStylePr>
    <w:tblStylePr w:type="firstCol">
      <w:rPr>
        <w:b/>
        <w:bCs/>
      </w:rPr>
    </w:tblStylePr>
    <w:tblStylePr w:type="lastCol">
      <w:rPr>
        <w:b/>
        <w:bCs/>
      </w:rPr>
    </w:tblStylePr>
    <w:tblStylePr w:type="band1Vert">
      <w:tblPr/>
      <w:tcPr>
        <w:shd w:val="clear" w:color="auto" w:fill="C3C4EE" w:themeFill="accent1" w:themeFillTint="33"/>
      </w:tcPr>
    </w:tblStylePr>
    <w:tblStylePr w:type="band1Horz">
      <w:tblPr/>
      <w:tcPr>
        <w:shd w:val="clear" w:color="auto" w:fill="C3C4EE" w:themeFill="accent1" w:themeFillTint="33"/>
      </w:tcPr>
    </w:tblStylePr>
  </w:style>
  <w:style w:type="table" w:styleId="TableGridLight">
    <w:name w:val="Grid Table Light"/>
    <w:basedOn w:val="TableNormal"/>
    <w:uiPriority w:val="40"/>
    <w:locked/>
    <w:rsid w:val="00AE79FA"/>
    <w:pPr>
      <w:spacing w:after="0" w:line="240" w:lineRule="auto"/>
    </w:pPr>
    <w:rPr>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79FA"/>
    <w:pPr>
      <w:spacing w:after="0" w:line="240" w:lineRule="auto"/>
    </w:pPr>
    <w:rPr>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AE79FA"/>
    <w:pPr>
      <w:spacing w:after="0" w:line="240" w:lineRule="auto"/>
    </w:pPr>
    <w:rPr>
      <w:sz w:val="24"/>
    </w:rPr>
    <w:tblPr>
      <w:tblStyleRowBandSize w:val="1"/>
      <w:tblStyleColBandSize w:val="1"/>
      <w:tblBorders>
        <w:top w:val="single" w:sz="4" w:space="0" w:color="696DD4" w:themeColor="text1" w:themeTint="80"/>
        <w:bottom w:val="single" w:sz="4" w:space="0" w:color="696DD4" w:themeColor="text1" w:themeTint="80"/>
      </w:tblBorders>
    </w:tblPr>
    <w:tblStylePr w:type="firstRow">
      <w:rPr>
        <w:b/>
        <w:bCs/>
      </w:rPr>
      <w:tblPr/>
      <w:tcPr>
        <w:tcBorders>
          <w:bottom w:val="single" w:sz="4" w:space="0" w:color="696DD4" w:themeColor="text1" w:themeTint="80"/>
        </w:tcBorders>
      </w:tcPr>
    </w:tblStylePr>
    <w:tblStylePr w:type="lastRow">
      <w:rPr>
        <w:b/>
        <w:bCs/>
      </w:rPr>
      <w:tblPr/>
      <w:tcPr>
        <w:tcBorders>
          <w:top w:val="single" w:sz="4" w:space="0" w:color="696DD4" w:themeColor="text1" w:themeTint="80"/>
        </w:tcBorders>
      </w:tcPr>
    </w:tblStylePr>
    <w:tblStylePr w:type="firstCol">
      <w:rPr>
        <w:b/>
        <w:bCs/>
      </w:rPr>
    </w:tblStylePr>
    <w:tblStylePr w:type="lastCol">
      <w:rPr>
        <w:b/>
        <w:bCs/>
      </w:rPr>
    </w:tblStylePr>
    <w:tblStylePr w:type="band1Vert">
      <w:tblPr/>
      <w:tcPr>
        <w:tcBorders>
          <w:left w:val="single" w:sz="4" w:space="0" w:color="696DD4" w:themeColor="text1" w:themeTint="80"/>
          <w:right w:val="single" w:sz="4" w:space="0" w:color="696DD4" w:themeColor="text1" w:themeTint="80"/>
        </w:tcBorders>
      </w:tcPr>
    </w:tblStylePr>
    <w:tblStylePr w:type="band2Vert">
      <w:tblPr/>
      <w:tcPr>
        <w:tcBorders>
          <w:left w:val="single" w:sz="4" w:space="0" w:color="696DD4" w:themeColor="text1" w:themeTint="80"/>
          <w:right w:val="single" w:sz="4" w:space="0" w:color="696DD4" w:themeColor="text1" w:themeTint="80"/>
        </w:tcBorders>
      </w:tcPr>
    </w:tblStylePr>
    <w:tblStylePr w:type="band1Horz">
      <w:tblPr/>
      <w:tcPr>
        <w:tcBorders>
          <w:top w:val="single" w:sz="4" w:space="0" w:color="696DD4" w:themeColor="text1" w:themeTint="80"/>
          <w:bottom w:val="single" w:sz="4" w:space="0" w:color="696DD4" w:themeColor="text1" w:themeTint="80"/>
        </w:tcBorders>
      </w:tcPr>
    </w:tblStylePr>
  </w:style>
  <w:style w:type="table" w:styleId="PlainTable3">
    <w:name w:val="Plain Table 3"/>
    <w:basedOn w:val="TableNormal"/>
    <w:uiPriority w:val="43"/>
    <w:rsid w:val="00AE79FA"/>
    <w:pPr>
      <w:spacing w:after="0" w:line="240" w:lineRule="auto"/>
    </w:pPr>
    <w:rPr>
      <w:sz w:val="24"/>
    </w:rPr>
    <w:tblPr>
      <w:tblStyleRowBandSize w:val="1"/>
      <w:tblStyleColBandSize w:val="1"/>
    </w:tblPr>
    <w:tblStylePr w:type="firstRow">
      <w:rPr>
        <w:b/>
        <w:bCs/>
        <w:caps/>
      </w:rPr>
      <w:tblPr/>
      <w:tcPr>
        <w:tcBorders>
          <w:bottom w:val="single" w:sz="4" w:space="0" w:color="696DD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96DD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AE79FA"/>
    <w:pPr>
      <w:spacing w:after="0" w:line="240" w:lineRule="auto"/>
    </w:pPr>
    <w:rPr>
      <w:sz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AE79FA"/>
    <w:pPr>
      <w:spacing w:after="0" w:line="240" w:lineRule="auto"/>
    </w:pPr>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DD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DD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DD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DD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E79FA"/>
    <w:pPr>
      <w:spacing w:after="0" w:line="240" w:lineRule="auto"/>
    </w:pPr>
    <w:rPr>
      <w:sz w:val="24"/>
    </w:rPr>
    <w:tblPr>
      <w:tblStyleRowBandSize w:val="1"/>
      <w:tblStyleColBandSize w:val="1"/>
      <w:tblBorders>
        <w:top w:val="single" w:sz="4" w:space="0" w:color="878ADD" w:themeColor="text1" w:themeTint="66"/>
        <w:left w:val="single" w:sz="4" w:space="0" w:color="878ADD" w:themeColor="text1" w:themeTint="66"/>
        <w:bottom w:val="single" w:sz="4" w:space="0" w:color="878ADD" w:themeColor="text1" w:themeTint="66"/>
        <w:right w:val="single" w:sz="4" w:space="0" w:color="878ADD" w:themeColor="text1" w:themeTint="66"/>
        <w:insideH w:val="single" w:sz="4" w:space="0" w:color="878ADD" w:themeColor="text1" w:themeTint="66"/>
        <w:insideV w:val="single" w:sz="4" w:space="0" w:color="878ADD" w:themeColor="text1" w:themeTint="66"/>
      </w:tblBorders>
    </w:tblPr>
    <w:tblStylePr w:type="firstRow">
      <w:rPr>
        <w:b/>
        <w:bCs/>
      </w:rPr>
      <w:tblPr/>
      <w:tcPr>
        <w:tcBorders>
          <w:bottom w:val="single" w:sz="12" w:space="0" w:color="4B50CC" w:themeColor="text1" w:themeTint="99"/>
        </w:tcBorders>
      </w:tcPr>
    </w:tblStylePr>
    <w:tblStylePr w:type="lastRow">
      <w:rPr>
        <w:b/>
        <w:bCs/>
      </w:rPr>
      <w:tblPr/>
      <w:tcPr>
        <w:tcBorders>
          <w:top w:val="double" w:sz="2" w:space="0" w:color="4B50C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AE79FA"/>
    <w:pPr>
      <w:spacing w:after="0" w:line="240" w:lineRule="auto"/>
    </w:pPr>
    <w:rPr>
      <w:sz w:val="24"/>
    </w:rPr>
    <w:tblPr>
      <w:tblStyleRowBandSize w:val="1"/>
      <w:tblStyleColBandSize w:val="1"/>
      <w:tblBorders>
        <w:top w:val="single" w:sz="4" w:space="0" w:color="878ADD" w:themeColor="accent1" w:themeTint="66"/>
        <w:left w:val="single" w:sz="4" w:space="0" w:color="878ADD" w:themeColor="accent1" w:themeTint="66"/>
        <w:bottom w:val="single" w:sz="4" w:space="0" w:color="878ADD" w:themeColor="accent1" w:themeTint="66"/>
        <w:right w:val="single" w:sz="4" w:space="0" w:color="878ADD" w:themeColor="accent1" w:themeTint="66"/>
        <w:insideH w:val="single" w:sz="4" w:space="0" w:color="878ADD" w:themeColor="accent1" w:themeTint="66"/>
        <w:insideV w:val="single" w:sz="4" w:space="0" w:color="878ADD" w:themeColor="accent1" w:themeTint="66"/>
      </w:tblBorders>
    </w:tblPr>
    <w:tblStylePr w:type="firstRow">
      <w:rPr>
        <w:b/>
        <w:bCs/>
      </w:rPr>
      <w:tblPr/>
      <w:tcPr>
        <w:tcBorders>
          <w:bottom w:val="single" w:sz="12" w:space="0" w:color="4B50CC" w:themeColor="accent1" w:themeTint="99"/>
        </w:tcBorders>
      </w:tcPr>
    </w:tblStylePr>
    <w:tblStylePr w:type="lastRow">
      <w:rPr>
        <w:b/>
        <w:bCs/>
      </w:rPr>
      <w:tblPr/>
      <w:tcPr>
        <w:tcBorders>
          <w:top w:val="double" w:sz="2" w:space="0" w:color="4B50C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AE79FA"/>
    <w:pPr>
      <w:spacing w:after="0" w:line="240" w:lineRule="auto"/>
    </w:pPr>
    <w:rPr>
      <w:sz w:val="24"/>
    </w:rPr>
    <w:tblPr>
      <w:tblStyleRowBandSize w:val="1"/>
      <w:tblStyleColBandSize w:val="1"/>
      <w:tblBorders>
        <w:top w:val="single" w:sz="4" w:space="0" w:color="90BCFB" w:themeColor="accent2" w:themeTint="66"/>
        <w:left w:val="single" w:sz="4" w:space="0" w:color="90BCFB" w:themeColor="accent2" w:themeTint="66"/>
        <w:bottom w:val="single" w:sz="4" w:space="0" w:color="90BCFB" w:themeColor="accent2" w:themeTint="66"/>
        <w:right w:val="single" w:sz="4" w:space="0" w:color="90BCFB" w:themeColor="accent2" w:themeTint="66"/>
        <w:insideH w:val="single" w:sz="4" w:space="0" w:color="90BCFB" w:themeColor="accent2" w:themeTint="66"/>
        <w:insideV w:val="single" w:sz="4" w:space="0" w:color="90BCFB" w:themeColor="accent2" w:themeTint="66"/>
      </w:tblBorders>
    </w:tblPr>
    <w:tblStylePr w:type="firstRow">
      <w:rPr>
        <w:b/>
        <w:bCs/>
      </w:rPr>
      <w:tblPr/>
      <w:tcPr>
        <w:tcBorders>
          <w:bottom w:val="single" w:sz="12" w:space="0" w:color="599AF9" w:themeColor="accent2" w:themeTint="99"/>
        </w:tcBorders>
      </w:tcPr>
    </w:tblStylePr>
    <w:tblStylePr w:type="lastRow">
      <w:rPr>
        <w:b/>
        <w:bCs/>
      </w:rPr>
      <w:tblPr/>
      <w:tcPr>
        <w:tcBorders>
          <w:top w:val="double" w:sz="2" w:space="0" w:color="599AF9" w:themeColor="accent2" w:themeTint="99"/>
        </w:tcBorders>
      </w:tcPr>
    </w:tblStylePr>
    <w:tblStylePr w:type="firstCol">
      <w:rPr>
        <w:b/>
        <w:bCs/>
      </w:rPr>
    </w:tblStylePr>
    <w:tblStylePr w:type="lastCol">
      <w:rPr>
        <w:b/>
        <w:bCs/>
      </w:rPr>
    </w:tblStylePr>
  </w:style>
  <w:style w:type="table" w:styleId="ListTable3">
    <w:name w:val="List Table 3"/>
    <w:basedOn w:val="TableNormal"/>
    <w:uiPriority w:val="48"/>
    <w:rsid w:val="00A85B06"/>
    <w:pPr>
      <w:spacing w:after="0" w:line="240" w:lineRule="auto"/>
    </w:pPr>
    <w:tblPr>
      <w:tblStyleRowBandSize w:val="1"/>
      <w:tblStyleColBandSize w:val="1"/>
      <w:tblBorders>
        <w:top w:val="single" w:sz="4" w:space="0" w:color="1C1F63" w:themeColor="text1"/>
        <w:left w:val="single" w:sz="4" w:space="0" w:color="1C1F63" w:themeColor="text1"/>
        <w:bottom w:val="single" w:sz="4" w:space="0" w:color="1C1F63" w:themeColor="text1"/>
        <w:right w:val="single" w:sz="4" w:space="0" w:color="1C1F63" w:themeColor="text1"/>
      </w:tblBorders>
    </w:tblPr>
    <w:tblStylePr w:type="firstRow">
      <w:rPr>
        <w:b/>
        <w:bCs/>
        <w:color w:val="FFFFFF" w:themeColor="background1"/>
      </w:rPr>
      <w:tblPr/>
      <w:tcPr>
        <w:shd w:val="clear" w:color="auto" w:fill="1C1F63" w:themeFill="text1"/>
      </w:tcPr>
    </w:tblStylePr>
    <w:tblStylePr w:type="lastRow">
      <w:rPr>
        <w:b/>
        <w:bCs/>
      </w:rPr>
      <w:tblPr/>
      <w:tcPr>
        <w:tcBorders>
          <w:top w:val="double" w:sz="4" w:space="0" w:color="1C1F6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text1"/>
          <w:right w:val="single" w:sz="4" w:space="0" w:color="1C1F63" w:themeColor="text1"/>
        </w:tcBorders>
      </w:tcPr>
    </w:tblStylePr>
    <w:tblStylePr w:type="band1Horz">
      <w:tblPr/>
      <w:tcPr>
        <w:tcBorders>
          <w:top w:val="single" w:sz="4" w:space="0" w:color="1C1F63" w:themeColor="text1"/>
          <w:bottom w:val="single" w:sz="4" w:space="0" w:color="1C1F6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text1"/>
          <w:left w:val="nil"/>
        </w:tcBorders>
      </w:tcPr>
    </w:tblStylePr>
    <w:tblStylePr w:type="swCell">
      <w:tblPr/>
      <w:tcPr>
        <w:tcBorders>
          <w:top w:val="double" w:sz="4" w:space="0" w:color="1C1F63" w:themeColor="text1"/>
          <w:right w:val="nil"/>
        </w:tcBorders>
      </w:tcPr>
    </w:tblStylePr>
  </w:style>
  <w:style w:type="table" w:styleId="ListTable3-Accent1">
    <w:name w:val="List Table 3 Accent 1"/>
    <w:basedOn w:val="TableNormal"/>
    <w:uiPriority w:val="48"/>
    <w:locked/>
    <w:rsid w:val="00A85B06"/>
    <w:pPr>
      <w:spacing w:after="0" w:line="240" w:lineRule="auto"/>
    </w:pPr>
    <w:tblPr>
      <w:tblStyleRowBandSize w:val="1"/>
      <w:tblStyleColBandSize w:val="1"/>
      <w:tblBorders>
        <w:top w:val="single" w:sz="4" w:space="0" w:color="1C1F63" w:themeColor="accent1"/>
        <w:left w:val="single" w:sz="4" w:space="0" w:color="1C1F63" w:themeColor="accent1"/>
        <w:bottom w:val="single" w:sz="4" w:space="0" w:color="1C1F63" w:themeColor="accent1"/>
        <w:right w:val="single" w:sz="4" w:space="0" w:color="1C1F63" w:themeColor="accent1"/>
      </w:tblBorders>
    </w:tblPr>
    <w:tblStylePr w:type="firstRow">
      <w:rPr>
        <w:b/>
        <w:bCs/>
        <w:color w:val="FFFFFF" w:themeColor="background1"/>
      </w:rPr>
      <w:tblPr/>
      <w:tcPr>
        <w:shd w:val="clear" w:color="auto" w:fill="1C1F63" w:themeFill="accent1"/>
      </w:tcPr>
    </w:tblStylePr>
    <w:tblStylePr w:type="lastRow">
      <w:rPr>
        <w:b/>
        <w:bCs/>
      </w:rPr>
      <w:tblPr/>
      <w:tcPr>
        <w:tcBorders>
          <w:top w:val="double" w:sz="4" w:space="0" w:color="1C1F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1"/>
          <w:right w:val="single" w:sz="4" w:space="0" w:color="1C1F63" w:themeColor="accent1"/>
        </w:tcBorders>
      </w:tcPr>
    </w:tblStylePr>
    <w:tblStylePr w:type="band1Horz">
      <w:tblPr/>
      <w:tcPr>
        <w:tcBorders>
          <w:top w:val="single" w:sz="4" w:space="0" w:color="1C1F63" w:themeColor="accent1"/>
          <w:bottom w:val="single" w:sz="4" w:space="0" w:color="1C1F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1"/>
          <w:left w:val="nil"/>
        </w:tcBorders>
      </w:tcPr>
    </w:tblStylePr>
    <w:tblStylePr w:type="swCell">
      <w:tblPr/>
      <w:tcPr>
        <w:tcBorders>
          <w:top w:val="double" w:sz="4" w:space="0" w:color="1C1F63" w:themeColor="accent1"/>
          <w:right w:val="nil"/>
        </w:tcBorders>
      </w:tcPr>
    </w:tblStylePr>
  </w:style>
  <w:style w:type="table" w:styleId="ListTable3-Accent2">
    <w:name w:val="List Table 3 Accent 2"/>
    <w:basedOn w:val="TableNormal"/>
    <w:uiPriority w:val="48"/>
    <w:locked/>
    <w:rsid w:val="00A85B06"/>
    <w:pPr>
      <w:spacing w:after="0" w:line="240" w:lineRule="auto"/>
    </w:pPr>
    <w:tblPr>
      <w:tblStyleRowBandSize w:val="1"/>
      <w:tblStyleColBandSize w:val="1"/>
      <w:tblBorders>
        <w:top w:val="single" w:sz="4" w:space="0" w:color="075EDB" w:themeColor="accent2"/>
        <w:left w:val="single" w:sz="4" w:space="0" w:color="075EDB" w:themeColor="accent2"/>
        <w:bottom w:val="single" w:sz="4" w:space="0" w:color="075EDB" w:themeColor="accent2"/>
        <w:right w:val="single" w:sz="4" w:space="0" w:color="075EDB" w:themeColor="accent2"/>
      </w:tblBorders>
    </w:tblPr>
    <w:tblStylePr w:type="firstRow">
      <w:rPr>
        <w:b/>
        <w:bCs/>
        <w:color w:val="FFFFFF" w:themeColor="background1"/>
      </w:rPr>
      <w:tblPr/>
      <w:tcPr>
        <w:shd w:val="clear" w:color="auto" w:fill="075EDB" w:themeFill="accent2"/>
      </w:tcPr>
    </w:tblStylePr>
    <w:tblStylePr w:type="lastRow">
      <w:rPr>
        <w:b/>
        <w:bCs/>
      </w:rPr>
      <w:tblPr/>
      <w:tcPr>
        <w:tcBorders>
          <w:top w:val="double" w:sz="4" w:space="0" w:color="075E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EDB" w:themeColor="accent2"/>
          <w:right w:val="single" w:sz="4" w:space="0" w:color="075EDB" w:themeColor="accent2"/>
        </w:tcBorders>
      </w:tcPr>
    </w:tblStylePr>
    <w:tblStylePr w:type="band1Horz">
      <w:tblPr/>
      <w:tcPr>
        <w:tcBorders>
          <w:top w:val="single" w:sz="4" w:space="0" w:color="075EDB" w:themeColor="accent2"/>
          <w:bottom w:val="single" w:sz="4" w:space="0" w:color="075E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EDB" w:themeColor="accent2"/>
          <w:left w:val="nil"/>
        </w:tcBorders>
      </w:tcPr>
    </w:tblStylePr>
    <w:tblStylePr w:type="swCell">
      <w:tblPr/>
      <w:tcPr>
        <w:tcBorders>
          <w:top w:val="double" w:sz="4" w:space="0" w:color="075EDB" w:themeColor="accent2"/>
          <w:right w:val="nil"/>
        </w:tcBorders>
      </w:tcPr>
    </w:tblStylePr>
  </w:style>
  <w:style w:type="table" w:styleId="ListTable3-Accent3">
    <w:name w:val="List Table 3 Accent 3"/>
    <w:basedOn w:val="TableNormal"/>
    <w:uiPriority w:val="48"/>
    <w:locked/>
    <w:rsid w:val="00A85B06"/>
    <w:pPr>
      <w:spacing w:after="0" w:line="240" w:lineRule="auto"/>
    </w:pPr>
    <w:tblPr>
      <w:tblStyleRowBandSize w:val="1"/>
      <w:tblStyleColBandSize w:val="1"/>
      <w:tblBorders>
        <w:top w:val="single" w:sz="4" w:space="0" w:color="1C1F63" w:themeColor="accent3"/>
        <w:left w:val="single" w:sz="4" w:space="0" w:color="1C1F63" w:themeColor="accent3"/>
        <w:bottom w:val="single" w:sz="4" w:space="0" w:color="1C1F63" w:themeColor="accent3"/>
        <w:right w:val="single" w:sz="4" w:space="0" w:color="1C1F63" w:themeColor="accent3"/>
      </w:tblBorders>
    </w:tblPr>
    <w:tblStylePr w:type="firstRow">
      <w:rPr>
        <w:b/>
        <w:bCs/>
        <w:color w:val="FFFFFF" w:themeColor="background1"/>
      </w:rPr>
      <w:tblPr/>
      <w:tcPr>
        <w:shd w:val="clear" w:color="auto" w:fill="1C1F63" w:themeFill="accent3"/>
      </w:tcPr>
    </w:tblStylePr>
    <w:tblStylePr w:type="lastRow">
      <w:rPr>
        <w:b/>
        <w:bCs/>
      </w:rPr>
      <w:tblPr/>
      <w:tcPr>
        <w:tcBorders>
          <w:top w:val="double" w:sz="4" w:space="0" w:color="1C1F6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3"/>
          <w:right w:val="single" w:sz="4" w:space="0" w:color="1C1F63" w:themeColor="accent3"/>
        </w:tcBorders>
      </w:tcPr>
    </w:tblStylePr>
    <w:tblStylePr w:type="band1Horz">
      <w:tblPr/>
      <w:tcPr>
        <w:tcBorders>
          <w:top w:val="single" w:sz="4" w:space="0" w:color="1C1F63" w:themeColor="accent3"/>
          <w:bottom w:val="single" w:sz="4" w:space="0" w:color="1C1F6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3"/>
          <w:left w:val="nil"/>
        </w:tcBorders>
      </w:tcPr>
    </w:tblStylePr>
    <w:tblStylePr w:type="swCell">
      <w:tblPr/>
      <w:tcPr>
        <w:tcBorders>
          <w:top w:val="double" w:sz="4" w:space="0" w:color="1C1F63" w:themeColor="accent3"/>
          <w:right w:val="nil"/>
        </w:tcBorders>
      </w:tcPr>
    </w:tblStylePr>
  </w:style>
  <w:style w:type="table" w:styleId="ListTable3-Accent4">
    <w:name w:val="List Table 3 Accent 4"/>
    <w:basedOn w:val="TableNormal"/>
    <w:uiPriority w:val="48"/>
    <w:locked/>
    <w:rsid w:val="00A85B06"/>
    <w:pPr>
      <w:spacing w:after="0" w:line="240" w:lineRule="auto"/>
    </w:pPr>
    <w:tblPr>
      <w:tblStyleRowBandSize w:val="1"/>
      <w:tblStyleColBandSize w:val="1"/>
      <w:tblBorders>
        <w:top w:val="single" w:sz="4" w:space="0" w:color="075EDB" w:themeColor="accent4"/>
        <w:left w:val="single" w:sz="4" w:space="0" w:color="075EDB" w:themeColor="accent4"/>
        <w:bottom w:val="single" w:sz="4" w:space="0" w:color="075EDB" w:themeColor="accent4"/>
        <w:right w:val="single" w:sz="4" w:space="0" w:color="075EDB" w:themeColor="accent4"/>
      </w:tblBorders>
    </w:tblPr>
    <w:tblStylePr w:type="firstRow">
      <w:rPr>
        <w:b/>
        <w:bCs/>
        <w:color w:val="FFFFFF" w:themeColor="background1"/>
      </w:rPr>
      <w:tblPr/>
      <w:tcPr>
        <w:shd w:val="clear" w:color="auto" w:fill="075EDB" w:themeFill="accent4"/>
      </w:tcPr>
    </w:tblStylePr>
    <w:tblStylePr w:type="lastRow">
      <w:rPr>
        <w:b/>
        <w:bCs/>
      </w:rPr>
      <w:tblPr/>
      <w:tcPr>
        <w:tcBorders>
          <w:top w:val="double" w:sz="4" w:space="0" w:color="075ED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EDB" w:themeColor="accent4"/>
          <w:right w:val="single" w:sz="4" w:space="0" w:color="075EDB" w:themeColor="accent4"/>
        </w:tcBorders>
      </w:tcPr>
    </w:tblStylePr>
    <w:tblStylePr w:type="band1Horz">
      <w:tblPr/>
      <w:tcPr>
        <w:tcBorders>
          <w:top w:val="single" w:sz="4" w:space="0" w:color="075EDB" w:themeColor="accent4"/>
          <w:bottom w:val="single" w:sz="4" w:space="0" w:color="075ED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EDB" w:themeColor="accent4"/>
          <w:left w:val="nil"/>
        </w:tcBorders>
      </w:tcPr>
    </w:tblStylePr>
    <w:tblStylePr w:type="swCell">
      <w:tblPr/>
      <w:tcPr>
        <w:tcBorders>
          <w:top w:val="double" w:sz="4" w:space="0" w:color="075EDB" w:themeColor="accent4"/>
          <w:right w:val="nil"/>
        </w:tcBorders>
      </w:tcPr>
    </w:tblStylePr>
  </w:style>
  <w:style w:type="table" w:styleId="GridTable2">
    <w:name w:val="Grid Table 2"/>
    <w:basedOn w:val="TableNormal"/>
    <w:uiPriority w:val="47"/>
    <w:locked/>
    <w:rsid w:val="00A85B06"/>
    <w:pPr>
      <w:spacing w:after="0" w:line="240" w:lineRule="auto"/>
    </w:pPr>
    <w:tblPr>
      <w:tblStyleRowBandSize w:val="1"/>
      <w:tblStyleColBandSize w:val="1"/>
      <w:tblBorders>
        <w:top w:val="single" w:sz="2" w:space="0" w:color="4B50CC" w:themeColor="text1" w:themeTint="99"/>
        <w:bottom w:val="single" w:sz="2" w:space="0" w:color="4B50CC" w:themeColor="text1" w:themeTint="99"/>
        <w:insideH w:val="single" w:sz="2" w:space="0" w:color="4B50CC" w:themeColor="text1" w:themeTint="99"/>
        <w:insideV w:val="single" w:sz="2" w:space="0" w:color="4B50CC" w:themeColor="text1" w:themeTint="99"/>
      </w:tblBorders>
    </w:tblPr>
    <w:tblStylePr w:type="firstRow">
      <w:rPr>
        <w:b/>
        <w:bCs/>
      </w:rPr>
      <w:tblPr/>
      <w:tcPr>
        <w:tcBorders>
          <w:top w:val="nil"/>
          <w:bottom w:val="single" w:sz="12" w:space="0" w:color="4B50CC" w:themeColor="text1" w:themeTint="99"/>
          <w:insideH w:val="nil"/>
          <w:insideV w:val="nil"/>
        </w:tcBorders>
        <w:shd w:val="clear" w:color="auto" w:fill="FFFFFF" w:themeFill="background1"/>
      </w:tcPr>
    </w:tblStylePr>
    <w:tblStylePr w:type="lastRow">
      <w:rPr>
        <w:b/>
        <w:bCs/>
      </w:rPr>
      <w:tblPr/>
      <w:tcPr>
        <w:tcBorders>
          <w:top w:val="double" w:sz="2" w:space="0" w:color="4B50C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1Light">
    <w:name w:val="List Table 1 Light"/>
    <w:basedOn w:val="TableNormal"/>
    <w:uiPriority w:val="46"/>
    <w:rsid w:val="00A85B06"/>
    <w:pPr>
      <w:spacing w:after="0" w:line="240" w:lineRule="auto"/>
    </w:pPr>
    <w:tblPr>
      <w:tblStyleRowBandSize w:val="1"/>
      <w:tblStyleColBandSize w:val="1"/>
    </w:tblPr>
    <w:tblStylePr w:type="firstRow">
      <w:rPr>
        <w:b/>
        <w:bCs/>
      </w:rPr>
      <w:tblPr/>
      <w:tcPr>
        <w:tcBorders>
          <w:bottom w:val="single" w:sz="4" w:space="0" w:color="4B50CC" w:themeColor="text1" w:themeTint="99"/>
        </w:tcBorders>
      </w:tcPr>
    </w:tblStylePr>
    <w:tblStylePr w:type="lastRow">
      <w:rPr>
        <w:b/>
        <w:bCs/>
      </w:rPr>
      <w:tblPr/>
      <w:tcPr>
        <w:tcBorders>
          <w:top w:val="single" w:sz="4" w:space="0" w:color="4B50CC" w:themeColor="text1" w:themeTint="99"/>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2">
    <w:name w:val="List Table 2"/>
    <w:basedOn w:val="TableNormal"/>
    <w:uiPriority w:val="47"/>
    <w:locked/>
    <w:rsid w:val="00A85B06"/>
    <w:pPr>
      <w:spacing w:after="0" w:line="240" w:lineRule="auto"/>
    </w:pPr>
    <w:tblPr>
      <w:tblStyleRowBandSize w:val="1"/>
      <w:tblStyleColBandSize w:val="1"/>
      <w:tblBorders>
        <w:top w:val="single" w:sz="4" w:space="0" w:color="4B50CC" w:themeColor="text1" w:themeTint="99"/>
        <w:bottom w:val="single" w:sz="4" w:space="0" w:color="4B50CC" w:themeColor="text1" w:themeTint="99"/>
        <w:insideH w:val="single" w:sz="4" w:space="0" w:color="4B50C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character" w:styleId="Hyperlink">
    <w:name w:val="Hyperlink"/>
    <w:basedOn w:val="DefaultParagraphFont"/>
    <w:uiPriority w:val="99"/>
    <w:rsid w:val="00DE704D"/>
    <w:rPr>
      <w:color w:val="075EDB" w:themeColor="hyperlink"/>
      <w:u w:val="single"/>
    </w:rPr>
  </w:style>
  <w:style w:type="character" w:styleId="UnresolvedMention">
    <w:name w:val="Unresolved Mention"/>
    <w:basedOn w:val="DefaultParagraphFont"/>
    <w:uiPriority w:val="99"/>
    <w:semiHidden/>
    <w:rsid w:val="00DE704D"/>
    <w:rPr>
      <w:color w:val="605E5C"/>
      <w:shd w:val="clear" w:color="auto" w:fill="E1DFDD"/>
    </w:rPr>
  </w:style>
  <w:style w:type="character" w:styleId="FollowedHyperlink">
    <w:name w:val="FollowedHyperlink"/>
    <w:basedOn w:val="DefaultParagraphFont"/>
    <w:uiPriority w:val="99"/>
    <w:semiHidden/>
    <w:rsid w:val="00DE704D"/>
    <w:rPr>
      <w:color w:val="8605E4" w:themeColor="followedHyperlink"/>
      <w:u w:val="single"/>
    </w:rPr>
  </w:style>
  <w:style w:type="character" w:customStyle="1" w:styleId="Heading1Char">
    <w:name w:val="Heading 1 Char"/>
    <w:basedOn w:val="DefaultParagraphFont"/>
    <w:link w:val="Heading1"/>
    <w:uiPriority w:val="9"/>
    <w:semiHidden/>
    <w:rsid w:val="005B5DC3"/>
    <w:rPr>
      <w:rFonts w:asciiTheme="majorHAnsi" w:eastAsiaTheme="majorEastAsia" w:hAnsiTheme="majorHAnsi" w:cstheme="majorBidi"/>
      <w:color w:val="15174A"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993729">
      <w:bodyDiv w:val="1"/>
      <w:marLeft w:val="0"/>
      <w:marRight w:val="0"/>
      <w:marTop w:val="0"/>
      <w:marBottom w:val="0"/>
      <w:divBdr>
        <w:top w:val="none" w:sz="0" w:space="0" w:color="auto"/>
        <w:left w:val="none" w:sz="0" w:space="0" w:color="auto"/>
        <w:bottom w:val="none" w:sz="0" w:space="0" w:color="auto"/>
        <w:right w:val="none" w:sz="0" w:space="0" w:color="auto"/>
      </w:divBdr>
    </w:div>
    <w:div w:id="926115282">
      <w:bodyDiv w:val="1"/>
      <w:marLeft w:val="0"/>
      <w:marRight w:val="0"/>
      <w:marTop w:val="0"/>
      <w:marBottom w:val="0"/>
      <w:divBdr>
        <w:top w:val="none" w:sz="0" w:space="0" w:color="auto"/>
        <w:left w:val="none" w:sz="0" w:space="0" w:color="auto"/>
        <w:bottom w:val="none" w:sz="0" w:space="0" w:color="auto"/>
        <w:right w:val="none" w:sz="0" w:space="0" w:color="auto"/>
      </w:divBdr>
    </w:div>
    <w:div w:id="975839424">
      <w:bodyDiv w:val="1"/>
      <w:marLeft w:val="0"/>
      <w:marRight w:val="0"/>
      <w:marTop w:val="0"/>
      <w:marBottom w:val="0"/>
      <w:divBdr>
        <w:top w:val="none" w:sz="0" w:space="0" w:color="auto"/>
        <w:left w:val="none" w:sz="0" w:space="0" w:color="auto"/>
        <w:bottom w:val="none" w:sz="0" w:space="0" w:color="auto"/>
        <w:right w:val="none" w:sz="0" w:space="0" w:color="auto"/>
      </w:divBdr>
    </w:div>
    <w:div w:id="15948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assets.publishing.service.gov.uk%2Fmedia%2F5bbb790de5274a22415d7fee%2FEatwell_guide_colour_edition.pdf&amp;data=05%7C02%7Cjuliane.matthies%40nhs.net%7Cbd1d59cadb5d4707983c08dcbb837d91%7C37c354b285b047f5b22207b48d774ee3%7C0%7C0%7C638591420639904770%7CUnknown%7CTWFpbGZsb3d8eyJWIjoiMC4wLjAwMDAiLCJQIjoiV2luMzIiLCJBTiI6Ik1haWwiLCJXVCI6Mn0%3D%7C0%7C%7C%7C&amp;sdata=8NfPA3JQPiykSIlzA%2B%2BHmDfxCFpTAuV2qWQcEZ9tFu0%3D&amp;reserved=0" TargetMode="External"/><Relationship Id="rId18" Type="http://schemas.openxmlformats.org/officeDocument/2006/relationships/hyperlink" Target="https://www.apictureofhealth.southwest.nhs.uk/healthy-life-styles/exercise/" TargetMode="External"/><Relationship Id="rId26" Type="http://schemas.openxmlformats.org/officeDocument/2006/relationships/hyperlink" Target="https://gbr01.safelinks.protection.outlook.com/?url=https%3A%2F%2Fwww.eventbrite.co.uk%2Fe%2Fbnssg-learning-disability-annual-health-checks-back-to-basics-tickets-1053144145489%3Faff%3Doddtdtcreator&amp;data=05%7C02%7Cjuliane.matthies%40nhs.net%7C3905b36c56484b9cf47608dcf2954153%7C37c354b285b047f5b22207b48d774ee3%7C0%7C0%7C638651970063104117%7CUnknown%7CTWFpbGZsb3d8eyJWIjoiMC4wLjAwMDAiLCJQIjoiV2luMzIiLCJBTiI6Ik1haWwiLCJXVCI6Mn0%3D%7C0%7C%7C%7C&amp;sdata=Kv2Jk85l6WkW847DVBpqeGK0%2Br2uGyXWHwLv%2FAMlONk%3D&amp;reserved=0" TargetMode="External"/><Relationship Id="rId3" Type="http://schemas.openxmlformats.org/officeDocument/2006/relationships/customXml" Target="../customXml/item3.xml"/><Relationship Id="rId21" Type="http://schemas.openxmlformats.org/officeDocument/2006/relationships/hyperlink" Target="https://www.gov.uk/government/publications/the-complete-routine-immunisation-schedule/the-complete-routine-immunisation-schedule-from-february-202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br01.safelinks.protection.outlook.com/?url=https%3A%2F%2Fassets.publishing.service.gov.uk%2Fmedia%2F5b8d54d2e5274a0bd7d11928%2Fweight_management_toolkit_Let_s_talk_about_weight.pdf&amp;data=05%7C02%7Cjuliane.matthies%40nhs.net%7Cbd1d59cadb5d4707983c08dcbb837d91%7C37c354b285b047f5b22207b48d774ee3%7C0%7C0%7C638591420639892778%7CUnknown%7CTWFpbGZsb3d8eyJWIjoiMC4wLjAwMDAiLCJQIjoiV2luMzIiLCJBTiI6Ik1haWwiLCJXVCI6Mn0%3D%7C0%7C%7C%7C&amp;sdata=%2FB4hbDNlftOgzVDF9iN9lERaVDO9oFfMpwiABWmzJ2I%3D&amp;reserved=0" TargetMode="External"/><Relationship Id="rId17" Type="http://schemas.openxmlformats.org/officeDocument/2006/relationships/hyperlink" Target="https://www.apictureofhealth.southwest.nhs.uk/healthy-life-styles/diet/" TargetMode="External"/><Relationship Id="rId25" Type="http://schemas.openxmlformats.org/officeDocument/2006/relationships/hyperlink" Target="https://remedy.bnssg.icb.nhs.uk/adults/learning-disabilities/resources-for-learning-disability-annual-health-checks-and-health-action-plan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gbr01.safelinks.protection.outlook.com/?url=https%3A%2F%2Fwww.nhs.uk%2Flive-well%2Fhealthy-weight%2Fmanaging-your-weight%2Fmanaging-weight-with-a-learning-disability%2F&amp;data=05%7C02%7Cjuliane.matthies%40nhs.net%7Cbd1d59cadb5d4707983c08dcbb837d91%7C37c354b285b047f5b22207b48d774ee3%7C0%7C0%7C638591420639949783%7CUnknown%7CTWFpbGZsb3d8eyJWIjoiMC4wLjAwMDAiLCJQIjoiV2luMzIiLCJBTiI6Ik1haWwiLCJXVCI6Mn0%3D%7C0%7C%7C%7C&amp;sdata=YHGNLpDHJTG%2FJ5DTcLkePHNLesWggacyYQjtDec8c7I%3D&amp;reserved=0" TargetMode="External"/><Relationship Id="rId20" Type="http://schemas.openxmlformats.org/officeDocument/2006/relationships/hyperlink" Target="https://www.england.nhs.uk/long-read/rightcare-learning-disability-and-aspiration-pneumonia-scenari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medy.bnssg.icb.nhs.uk/adults/learning-disabilities/resources-for-learning-disability-annual-health-checks-and-health-action-plans/" TargetMode="External"/><Relationship Id="rId24" Type="http://schemas.openxmlformats.org/officeDocument/2006/relationships/hyperlink" Target="https://www.england.nhs.uk/publication/find-out-more-about-the-learning-disability-register-leaflet/"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gbr01.safelinks.protection.outlook.com/?url=https%3A%2F%2Fwww.nhs.uk%2Fhealthier-families%2F&amp;data=05%7C02%7Cjuliane.matthies%40nhs.net%7Cbd1d59cadb5d4707983c08dcbb837d91%7C37c354b285b047f5b22207b48d774ee3%7C0%7C0%7C638591420639928315%7CUnknown%7CTWFpbGZsb3d8eyJWIjoiMC4wLjAwMDAiLCJQIjoiV2luMzIiLCJBTiI6Ik1haWwiLCJXVCI6Mn0%3D%7C0%7C%7C%7C&amp;sdata=OVd0dKv4a%2FRc02WQRS27D32jAIWGYzp%2Bf%2FYg%2Bz8XeSc%3D&amp;reserved=0" TargetMode="External"/><Relationship Id="rId23" Type="http://schemas.openxmlformats.org/officeDocument/2006/relationships/hyperlink" Target="https://remedy.bnssg.icb.nhs.uk/adults/learning-disabilities/resources-for-learning-disability-annual-health-checks-and-health-action-plan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wt.org.uk/wp-content/uploads/2015/02/EWLDGuidelines.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static1.squarespace.com%2Fstatic%2F5bc74880ab1a6217704d23ca%2Ft%2F612e32f5d423b36012a1bb16%2F1630417666068%2FFINAL_Obesity_UK_Language_Matters_2020.pdf&amp;data=05%7C02%7Cjuliane.matthies%40nhs.net%7Cbd1d59cadb5d4707983c08dcbb837d91%7C37c354b285b047f5b22207b48d774ee3%7C0%7C0%7C638591420639916386%7CUnknown%7CTWFpbGZsb3d8eyJWIjoiMC4wLjAwMDAiLCJQIjoiV2luMzIiLCJBTiI6Ik1haWwiLCJXVCI6Mn0%3D%7C0%7C%7C%7C&amp;sdata=GrnUYJnZUls93tWOZeFQZAyOAdtGUUKgvBmK5K6oksM%3D&amp;reserved=0" TargetMode="External"/><Relationship Id="rId22" Type="http://schemas.openxmlformats.org/officeDocument/2006/relationships/hyperlink" Target="https://www.victoriaandstuart.com/end-of-life-care-planning-toolkit" TargetMode="External"/><Relationship Id="rId27" Type="http://schemas.openxmlformats.org/officeDocument/2006/relationships/hyperlink" Target="mailto:juliane.matthies@nhs.net"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ealthier Together with ICB document">
      <a:dk1>
        <a:srgbClr val="1C1F63"/>
      </a:dk1>
      <a:lt1>
        <a:sysClr val="window" lastClr="FFFFFF"/>
      </a:lt1>
      <a:dk2>
        <a:srgbClr val="44546A"/>
      </a:dk2>
      <a:lt2>
        <a:srgbClr val="E7E6E6"/>
      </a:lt2>
      <a:accent1>
        <a:srgbClr val="1C1F63"/>
      </a:accent1>
      <a:accent2>
        <a:srgbClr val="075EDB"/>
      </a:accent2>
      <a:accent3>
        <a:srgbClr val="1C1F63"/>
      </a:accent3>
      <a:accent4>
        <a:srgbClr val="075EDB"/>
      </a:accent4>
      <a:accent5>
        <a:srgbClr val="1C1F63"/>
      </a:accent5>
      <a:accent6>
        <a:srgbClr val="075EDB"/>
      </a:accent6>
      <a:hlink>
        <a:srgbClr val="075EDB"/>
      </a:hlink>
      <a:folHlink>
        <a:srgbClr val="8605E4"/>
      </a:folHlink>
    </a:clrScheme>
    <a:fontScheme name="Healthier Togeth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227FA4040FC24A80A63F4C2205E1CD" ma:contentTypeVersion="16" ma:contentTypeDescription="Create a new document." ma:contentTypeScope="" ma:versionID="863989d41c3f6d4bf26cb3400801d13a">
  <xsd:schema xmlns:xsd="http://www.w3.org/2001/XMLSchema" xmlns:xs="http://www.w3.org/2001/XMLSchema" xmlns:p="http://schemas.microsoft.com/office/2006/metadata/properties" xmlns:ns2="9481131a-5ef9-4c1f-b17b-99b9c4b05bfc" xmlns:ns3="321487e1-d70a-4ac7-a45d-cb1aeb6d772e" targetNamespace="http://schemas.microsoft.com/office/2006/metadata/properties" ma:root="true" ma:fieldsID="5c90ab8f5065901e82a2cf77f49cff08" ns2:_="" ns3:_="">
    <xsd:import namespace="9481131a-5ef9-4c1f-b17b-99b9c4b05bfc"/>
    <xsd:import namespace="321487e1-d70a-4ac7-a45d-cb1aeb6d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1131a-5ef9-4c1f-b17b-99b9c4b05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1487e1-d70a-4ac7-a45d-cb1aeb6d7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8cb318-8806-40fa-b3cd-d3ee06e44939}" ma:internalName="TaxCatchAll" ma:showField="CatchAllData" ma:web="321487e1-d70a-4ac7-a45d-cb1aeb6d7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81131a-5ef9-4c1f-b17b-99b9c4b05bfc">
      <Terms xmlns="http://schemas.microsoft.com/office/infopath/2007/PartnerControls"/>
    </lcf76f155ced4ddcb4097134ff3c332f>
    <TaxCatchAll xmlns="321487e1-d70a-4ac7-a45d-cb1aeb6d772e" xsi:nil="true"/>
    <SharedWithUsers xmlns="321487e1-d70a-4ac7-a45d-cb1aeb6d772e">
      <UserInfo>
        <DisplayName>SMITH, Rebekah (NHS BRISTOL, NORTH SOMERSET AND SOUTH GLOUCESTERSHIRE ICB - 15C)</DisplayName>
        <AccountId>64</AccountId>
        <AccountType/>
      </UserInfo>
      <UserInfo>
        <DisplayName>BALLOCH, Becky (NHS BRISTOL, NORTH SOMERSET AND SOUTH GLOUCESTERSHIRE ICB - 15C)</DisplayName>
        <AccountId>40</AccountId>
        <AccountType/>
      </UserInfo>
      <UserInfo>
        <DisplayName>BOND, Jennifer (NHS BRISTOL, NORTH SOMERSET AND SOUTH GLOUCESTERSHIRE ICB - 15C)</DisplayName>
        <AccountId>93</AccountId>
        <AccountType/>
      </UserInfo>
      <UserInfo>
        <DisplayName>WOODSTOCK, Jade (NHS BRISTOL, NORTH SOMERSET AND SOUTH GLOUCESTERSHIRE ICB - 15C)</DisplayName>
        <AccountId>341</AccountId>
        <AccountType/>
      </UserInfo>
      <UserInfo>
        <DisplayName>HAVERGAL, Naomi (NHS BRISTOL, NORTH SOMERSET AND SOUTH GLOUCESTERSHIRE ICB - 15C)</DisplayName>
        <AccountId>65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B5799-EDC9-45EC-908B-137B3B001684}">
  <ds:schemaRefs>
    <ds:schemaRef ds:uri="http://schemas.openxmlformats.org/officeDocument/2006/bibliography"/>
  </ds:schemaRefs>
</ds:datastoreItem>
</file>

<file path=customXml/itemProps2.xml><?xml version="1.0" encoding="utf-8"?>
<ds:datastoreItem xmlns:ds="http://schemas.openxmlformats.org/officeDocument/2006/customXml" ds:itemID="{828C2806-087E-4D4B-99AC-D3973484A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1131a-5ef9-4c1f-b17b-99b9c4b05bfc"/>
    <ds:schemaRef ds:uri="321487e1-d70a-4ac7-a45d-cb1aeb6d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4711C-A410-452D-9C4D-F8F4CBD2A4AC}">
  <ds:schemaRefs>
    <ds:schemaRef ds:uri="http://schemas.microsoft.com/office/2006/metadata/properties"/>
    <ds:schemaRef ds:uri="http://schemas.microsoft.com/office/infopath/2007/PartnerControls"/>
    <ds:schemaRef ds:uri="9481131a-5ef9-4c1f-b17b-99b9c4b05bfc"/>
    <ds:schemaRef ds:uri="321487e1-d70a-4ac7-a45d-cb1aeb6d772e"/>
  </ds:schemaRefs>
</ds:datastoreItem>
</file>

<file path=customXml/itemProps4.xml><?xml version="1.0" encoding="utf-8"?>
<ds:datastoreItem xmlns:ds="http://schemas.openxmlformats.org/officeDocument/2006/customXml" ds:itemID="{3EB5CA97-A5E1-42C1-85D5-5D9F5920563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76</TotalTime>
  <Pages>1</Pages>
  <Words>559</Words>
  <Characters>7760</Characters>
  <Application>Microsoft Office Word</Application>
  <DocSecurity>0</DocSecurity>
  <Lines>64</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 January 2019</dc:title>
  <dc:subject/>
  <dc:creator>Suvidha Bane</dc:creator>
  <cp:keywords/>
  <dc:description/>
  <cp:lastModifiedBy>MATTHIES, Juliane (ORCHARD MEDICAL CENTRE - L81055)</cp:lastModifiedBy>
  <cp:revision>7</cp:revision>
  <dcterms:created xsi:type="dcterms:W3CDTF">2024-08-20T12:02:00Z</dcterms:created>
  <dcterms:modified xsi:type="dcterms:W3CDTF">2024-10-24T15:02:00Z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0x01010013227FA4040FC24A80A63F4C2205E1CD</vt:lpwstr>
  </property>
  <property fmtid="{D5CDD505-2E9C-101B-9397-08002B2CF9AE}" pid="3" name="MediaServiceImageTags">
    <vt:lpwstr/>
  </property>
  <property fmtid="{D5CDD505-2E9C-101B-9397-08002B2CF9AE}" pid="4" name="GrammarlyDocumentId">
    <vt:lpwstr>b4fbf4a65f7d1ddef991659c2269215d36314399cb6f44e612cc251d93e63e58</vt:lpwstr>
  </property>
</Properties>
</file>