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B950" w14:textId="0F648B63" w:rsidR="0075793C" w:rsidRPr="0075793C" w:rsidRDefault="001C0792" w:rsidP="0075793C">
      <w:pPr>
        <w:pStyle w:val="Default"/>
        <w:jc w:val="center"/>
        <w:rPr>
          <w:b/>
          <w:bCs/>
          <w:caps/>
        </w:rPr>
      </w:pPr>
      <w:r>
        <w:rPr>
          <w:b/>
          <w:bCs/>
          <w:caps/>
        </w:rPr>
        <w:t>Medicines access</w:t>
      </w:r>
      <w:r w:rsidR="0075793C" w:rsidRPr="0075793C">
        <w:rPr>
          <w:b/>
          <w:bCs/>
          <w:caps/>
        </w:rPr>
        <w:t xml:space="preserve"> for Asylum Seekers </w:t>
      </w:r>
      <w:r w:rsidR="0075793C">
        <w:rPr>
          <w:b/>
          <w:bCs/>
          <w:caps/>
        </w:rPr>
        <w:t>IN BNSSG</w:t>
      </w:r>
    </w:p>
    <w:p w14:paraId="49FB167A" w14:textId="77777777" w:rsidR="0075793C" w:rsidRDefault="0075793C" w:rsidP="0075793C">
      <w:pPr>
        <w:pStyle w:val="Default"/>
        <w:rPr>
          <w:b/>
          <w:bCs/>
          <w:sz w:val="20"/>
          <w:szCs w:val="20"/>
        </w:rPr>
      </w:pPr>
    </w:p>
    <w:p w14:paraId="76ECD2BD" w14:textId="4FBA59B8" w:rsidR="0075793C" w:rsidRDefault="0075793C" w:rsidP="0075793C">
      <w:pPr>
        <w:pStyle w:val="Default"/>
        <w:rPr>
          <w:b/>
          <w:bCs/>
          <w:sz w:val="20"/>
          <w:szCs w:val="20"/>
        </w:rPr>
      </w:pPr>
    </w:p>
    <w:p w14:paraId="3B10D218" w14:textId="77777777" w:rsidR="0075793C" w:rsidRDefault="0075793C" w:rsidP="0075793C">
      <w:pPr>
        <w:pStyle w:val="Default"/>
        <w:rPr>
          <w:b/>
          <w:bCs/>
          <w:sz w:val="20"/>
          <w:szCs w:val="20"/>
        </w:rPr>
      </w:pPr>
    </w:p>
    <w:p w14:paraId="7365307A" w14:textId="3CE04F06" w:rsidR="0075793C" w:rsidRPr="0075793C" w:rsidRDefault="0075793C" w:rsidP="0075793C">
      <w:pPr>
        <w:pStyle w:val="Default"/>
        <w:rPr>
          <w:sz w:val="20"/>
          <w:szCs w:val="20"/>
        </w:rPr>
      </w:pPr>
      <w:r w:rsidRPr="0075793C">
        <w:rPr>
          <w:sz w:val="20"/>
          <w:szCs w:val="20"/>
        </w:rPr>
        <w:t>Dear Colleagues,</w:t>
      </w:r>
    </w:p>
    <w:p w14:paraId="04445DF8" w14:textId="4DD59CD4" w:rsidR="0075793C" w:rsidRPr="0075793C" w:rsidRDefault="0075793C" w:rsidP="0075793C">
      <w:pPr>
        <w:pStyle w:val="Default"/>
        <w:rPr>
          <w:sz w:val="20"/>
          <w:szCs w:val="20"/>
        </w:rPr>
      </w:pPr>
    </w:p>
    <w:p w14:paraId="2D0FA14F" w14:textId="4BAC138A" w:rsidR="0075793C" w:rsidRDefault="0075793C" w:rsidP="0075793C">
      <w:pPr>
        <w:pStyle w:val="Default"/>
        <w:jc w:val="both"/>
        <w:rPr>
          <w:sz w:val="20"/>
          <w:szCs w:val="20"/>
        </w:rPr>
      </w:pPr>
    </w:p>
    <w:p w14:paraId="4150A79B" w14:textId="0C9A8F1C" w:rsidR="0075793C" w:rsidRDefault="0075793C" w:rsidP="0075793C">
      <w:pPr>
        <w:pStyle w:val="Default"/>
        <w:jc w:val="both"/>
        <w:rPr>
          <w:sz w:val="20"/>
          <w:szCs w:val="20"/>
        </w:rPr>
      </w:pPr>
      <w:r>
        <w:rPr>
          <w:sz w:val="20"/>
          <w:szCs w:val="20"/>
        </w:rPr>
        <w:t xml:space="preserve">Due to the limited funds available to asylum seekers, they are </w:t>
      </w:r>
      <w:r w:rsidR="0051263C">
        <w:rPr>
          <w:sz w:val="20"/>
          <w:szCs w:val="20"/>
        </w:rPr>
        <w:t>often</w:t>
      </w:r>
      <w:r>
        <w:rPr>
          <w:sz w:val="20"/>
          <w:szCs w:val="20"/>
        </w:rPr>
        <w:t xml:space="preserve"> unable to purchase </w:t>
      </w:r>
      <w:proofErr w:type="gramStart"/>
      <w:r>
        <w:rPr>
          <w:sz w:val="20"/>
          <w:szCs w:val="20"/>
        </w:rPr>
        <w:t>over</w:t>
      </w:r>
      <w:r w:rsidR="00D13C93">
        <w:rPr>
          <w:sz w:val="20"/>
          <w:szCs w:val="20"/>
        </w:rPr>
        <w:t>-</w:t>
      </w:r>
      <w:r>
        <w:rPr>
          <w:sz w:val="20"/>
          <w:szCs w:val="20"/>
        </w:rPr>
        <w:t>the</w:t>
      </w:r>
      <w:r w:rsidR="00D13C93">
        <w:rPr>
          <w:sz w:val="20"/>
          <w:szCs w:val="20"/>
        </w:rPr>
        <w:t>-</w:t>
      </w:r>
      <w:r>
        <w:rPr>
          <w:sz w:val="20"/>
          <w:szCs w:val="20"/>
        </w:rPr>
        <w:t>counter</w:t>
      </w:r>
      <w:proofErr w:type="gramEnd"/>
      <w:r>
        <w:rPr>
          <w:sz w:val="20"/>
          <w:szCs w:val="20"/>
        </w:rPr>
        <w:t xml:space="preserve"> (OTC) treatment for minor ailments and are at risk of </w:t>
      </w:r>
      <w:r w:rsidRPr="0075793C">
        <w:rPr>
          <w:sz w:val="20"/>
          <w:szCs w:val="20"/>
        </w:rPr>
        <w:t>undertreating minor conditions which could lead to more serious presentation</w:t>
      </w:r>
      <w:r w:rsidR="0051263C">
        <w:rPr>
          <w:sz w:val="20"/>
          <w:szCs w:val="20"/>
        </w:rPr>
        <w:t>s</w:t>
      </w:r>
      <w:r w:rsidRPr="0075793C">
        <w:rPr>
          <w:sz w:val="20"/>
          <w:szCs w:val="20"/>
        </w:rPr>
        <w:t xml:space="preserve"> later or using NHS services inappropriately such as NHS 111</w:t>
      </w:r>
      <w:r>
        <w:rPr>
          <w:sz w:val="20"/>
          <w:szCs w:val="20"/>
        </w:rPr>
        <w:t xml:space="preserve"> or 999</w:t>
      </w:r>
      <w:r w:rsidRPr="0075793C">
        <w:rPr>
          <w:sz w:val="20"/>
          <w:szCs w:val="20"/>
        </w:rPr>
        <w:t xml:space="preserve">. </w:t>
      </w:r>
    </w:p>
    <w:p w14:paraId="29245F8C" w14:textId="26B770F3" w:rsidR="0075793C" w:rsidRDefault="0075793C" w:rsidP="0075793C">
      <w:pPr>
        <w:pStyle w:val="Default"/>
        <w:rPr>
          <w:sz w:val="20"/>
          <w:szCs w:val="20"/>
        </w:rPr>
      </w:pPr>
    </w:p>
    <w:p w14:paraId="2A8790F8" w14:textId="061A7EAE" w:rsidR="00D13C93" w:rsidRDefault="00D13C93" w:rsidP="00D13C93">
      <w:pPr>
        <w:pStyle w:val="Default"/>
        <w:jc w:val="both"/>
        <w:rPr>
          <w:sz w:val="20"/>
          <w:szCs w:val="20"/>
        </w:rPr>
      </w:pPr>
      <w:r>
        <w:rPr>
          <w:sz w:val="20"/>
          <w:szCs w:val="20"/>
        </w:rPr>
        <w:t xml:space="preserve">Due to the limited funds available to asylum seekers, they often struggle to buy </w:t>
      </w:r>
      <w:proofErr w:type="gramStart"/>
      <w:r>
        <w:rPr>
          <w:sz w:val="20"/>
          <w:szCs w:val="20"/>
        </w:rPr>
        <w:t>over-the-counter</w:t>
      </w:r>
      <w:proofErr w:type="gramEnd"/>
      <w:r>
        <w:rPr>
          <w:sz w:val="20"/>
          <w:szCs w:val="20"/>
        </w:rPr>
        <w:t xml:space="preserve"> (OTC) medications for minor illness. This puts them at risk of </w:t>
      </w:r>
      <w:r w:rsidRPr="0075793C">
        <w:rPr>
          <w:sz w:val="20"/>
          <w:szCs w:val="20"/>
        </w:rPr>
        <w:t>using NHS services such as NHS 111</w:t>
      </w:r>
      <w:r>
        <w:rPr>
          <w:sz w:val="20"/>
          <w:szCs w:val="20"/>
        </w:rPr>
        <w:t xml:space="preserve"> or 999 i</w:t>
      </w:r>
      <w:r w:rsidRPr="0075793C">
        <w:rPr>
          <w:sz w:val="20"/>
          <w:szCs w:val="20"/>
        </w:rPr>
        <w:t xml:space="preserve">nappropriately. </w:t>
      </w:r>
      <w:r>
        <w:rPr>
          <w:sz w:val="20"/>
          <w:szCs w:val="20"/>
        </w:rPr>
        <w:t>U</w:t>
      </w:r>
      <w:r w:rsidRPr="0075793C">
        <w:rPr>
          <w:sz w:val="20"/>
          <w:szCs w:val="20"/>
        </w:rPr>
        <w:t xml:space="preserve">ndertreating minor conditions </w:t>
      </w:r>
      <w:r>
        <w:rPr>
          <w:sz w:val="20"/>
          <w:szCs w:val="20"/>
        </w:rPr>
        <w:t>can also</w:t>
      </w:r>
      <w:r w:rsidRPr="0075793C">
        <w:rPr>
          <w:sz w:val="20"/>
          <w:szCs w:val="20"/>
        </w:rPr>
        <w:t xml:space="preserve"> </w:t>
      </w:r>
      <w:r>
        <w:rPr>
          <w:sz w:val="20"/>
          <w:szCs w:val="20"/>
        </w:rPr>
        <w:t>contribute</w:t>
      </w:r>
      <w:r w:rsidRPr="0075793C">
        <w:rPr>
          <w:sz w:val="20"/>
          <w:szCs w:val="20"/>
        </w:rPr>
        <w:t xml:space="preserve"> to more serious presentation</w:t>
      </w:r>
      <w:r>
        <w:rPr>
          <w:sz w:val="20"/>
          <w:szCs w:val="20"/>
        </w:rPr>
        <w:t xml:space="preserve">s </w:t>
      </w:r>
      <w:proofErr w:type="gramStart"/>
      <w:r>
        <w:rPr>
          <w:sz w:val="20"/>
          <w:szCs w:val="20"/>
        </w:rPr>
        <w:t>at a later date</w:t>
      </w:r>
      <w:proofErr w:type="gramEnd"/>
      <w:r>
        <w:rPr>
          <w:sz w:val="20"/>
          <w:szCs w:val="20"/>
        </w:rPr>
        <w:t>.</w:t>
      </w:r>
    </w:p>
    <w:p w14:paraId="6674D11F" w14:textId="77777777" w:rsidR="00D13C93" w:rsidRDefault="00D13C93" w:rsidP="0075793C">
      <w:pPr>
        <w:pStyle w:val="Default"/>
        <w:rPr>
          <w:sz w:val="20"/>
          <w:szCs w:val="20"/>
        </w:rPr>
      </w:pPr>
    </w:p>
    <w:p w14:paraId="73723D8C" w14:textId="77777777" w:rsidR="0075793C" w:rsidRDefault="0075793C" w:rsidP="0075793C">
      <w:pPr>
        <w:pStyle w:val="Default"/>
        <w:jc w:val="both"/>
        <w:rPr>
          <w:sz w:val="20"/>
          <w:szCs w:val="20"/>
        </w:rPr>
      </w:pPr>
      <w:r>
        <w:rPr>
          <w:sz w:val="20"/>
          <w:szCs w:val="20"/>
        </w:rPr>
        <w:t>ICB and pharmacy teams have collaborated with The Haven to provide pharmacy solutions for asylum seekers experiencing barriers in access to medications.</w:t>
      </w:r>
    </w:p>
    <w:p w14:paraId="237665AF" w14:textId="3CC674C8" w:rsidR="0075793C" w:rsidRDefault="0075793C" w:rsidP="0075793C">
      <w:pPr>
        <w:pStyle w:val="Default"/>
        <w:rPr>
          <w:sz w:val="20"/>
          <w:szCs w:val="20"/>
        </w:rPr>
      </w:pPr>
    </w:p>
    <w:p w14:paraId="247AFEBD" w14:textId="1D8B6996" w:rsidR="00D13C93" w:rsidRDefault="00D13C93" w:rsidP="0075793C">
      <w:pPr>
        <w:pStyle w:val="Default"/>
        <w:rPr>
          <w:sz w:val="20"/>
          <w:szCs w:val="20"/>
        </w:rPr>
      </w:pPr>
    </w:p>
    <w:p w14:paraId="085E5991" w14:textId="77777777" w:rsidR="00D13C93" w:rsidRDefault="00D13C93" w:rsidP="0075793C">
      <w:pPr>
        <w:pStyle w:val="Default"/>
        <w:rPr>
          <w:sz w:val="20"/>
          <w:szCs w:val="20"/>
        </w:rPr>
      </w:pPr>
    </w:p>
    <w:p w14:paraId="256A5A0C" w14:textId="7C0D5559" w:rsidR="0075793C" w:rsidRDefault="0075793C" w:rsidP="0075793C">
      <w:pPr>
        <w:pStyle w:val="Default"/>
        <w:rPr>
          <w:sz w:val="20"/>
          <w:szCs w:val="20"/>
        </w:rPr>
      </w:pPr>
    </w:p>
    <w:p w14:paraId="6E7E5FB7" w14:textId="3FBD01E0" w:rsidR="0051263C" w:rsidRPr="0051263C" w:rsidRDefault="0051263C" w:rsidP="00D13C93">
      <w:pPr>
        <w:pStyle w:val="Default"/>
        <w:numPr>
          <w:ilvl w:val="0"/>
          <w:numId w:val="2"/>
        </w:numPr>
        <w:ind w:left="426"/>
        <w:rPr>
          <w:sz w:val="20"/>
          <w:szCs w:val="20"/>
        </w:rPr>
      </w:pPr>
      <w:r>
        <w:rPr>
          <w:b/>
          <w:bCs/>
          <w:sz w:val="20"/>
          <w:szCs w:val="20"/>
        </w:rPr>
        <w:t>Stamped Prescription Scheme</w:t>
      </w:r>
    </w:p>
    <w:p w14:paraId="646E1E99" w14:textId="77777777" w:rsidR="0051263C" w:rsidRDefault="0051263C" w:rsidP="00D13C93">
      <w:pPr>
        <w:pStyle w:val="Default"/>
        <w:ind w:left="426"/>
        <w:rPr>
          <w:b/>
          <w:bCs/>
          <w:sz w:val="20"/>
          <w:szCs w:val="20"/>
        </w:rPr>
      </w:pPr>
    </w:p>
    <w:p w14:paraId="7C13D4D3" w14:textId="012ADD08" w:rsidR="0051263C" w:rsidRPr="0051263C" w:rsidRDefault="0075793C" w:rsidP="00D13C93">
      <w:pPr>
        <w:pStyle w:val="Default"/>
        <w:ind w:left="426"/>
        <w:jc w:val="both"/>
        <w:rPr>
          <w:sz w:val="20"/>
          <w:szCs w:val="20"/>
        </w:rPr>
      </w:pPr>
      <w:r w:rsidRPr="0051263C">
        <w:rPr>
          <w:sz w:val="20"/>
          <w:szCs w:val="20"/>
        </w:rPr>
        <w:t xml:space="preserve">Asylum seekers </w:t>
      </w:r>
      <w:r w:rsidR="0051263C" w:rsidRPr="0051263C">
        <w:rPr>
          <w:sz w:val="20"/>
          <w:szCs w:val="20"/>
        </w:rPr>
        <w:t xml:space="preserve">and refugees receiving certain benefits </w:t>
      </w:r>
      <w:r w:rsidRPr="0051263C">
        <w:rPr>
          <w:sz w:val="20"/>
          <w:szCs w:val="20"/>
        </w:rPr>
        <w:t>are eligible for a</w:t>
      </w:r>
      <w:r w:rsidR="0051263C" w:rsidRPr="0051263C">
        <w:rPr>
          <w:sz w:val="20"/>
          <w:szCs w:val="20"/>
        </w:rPr>
        <w:t>n</w:t>
      </w:r>
      <w:r w:rsidRPr="0051263C">
        <w:rPr>
          <w:sz w:val="20"/>
          <w:szCs w:val="20"/>
        </w:rPr>
        <w:t xml:space="preserve"> </w:t>
      </w:r>
      <w:hyperlink r:id="rId5" w:history="1">
        <w:r w:rsidRPr="0051263C">
          <w:rPr>
            <w:rStyle w:val="Hyperlink"/>
            <w:sz w:val="20"/>
            <w:szCs w:val="20"/>
          </w:rPr>
          <w:t>HC2 certificate</w:t>
        </w:r>
      </w:hyperlink>
      <w:r w:rsidRPr="0051263C">
        <w:rPr>
          <w:sz w:val="20"/>
          <w:szCs w:val="20"/>
        </w:rPr>
        <w:t>, which entitles them to free NHS prescriptions, dental treatment and eye tests.</w:t>
      </w:r>
    </w:p>
    <w:p w14:paraId="00F9AEBE" w14:textId="60B55FC6" w:rsidR="0075793C" w:rsidRDefault="0075793C" w:rsidP="00D13C93">
      <w:pPr>
        <w:pStyle w:val="Default"/>
        <w:ind w:left="426"/>
        <w:jc w:val="both"/>
        <w:rPr>
          <w:sz w:val="20"/>
          <w:szCs w:val="20"/>
        </w:rPr>
      </w:pPr>
      <w:r w:rsidRPr="0075793C">
        <w:rPr>
          <w:sz w:val="20"/>
          <w:szCs w:val="20"/>
        </w:rPr>
        <w:t xml:space="preserve">In </w:t>
      </w:r>
      <w:r w:rsidR="0051263C">
        <w:rPr>
          <w:sz w:val="20"/>
          <w:szCs w:val="20"/>
        </w:rPr>
        <w:t xml:space="preserve">asylum seeker </w:t>
      </w:r>
      <w:r w:rsidRPr="0075793C">
        <w:rPr>
          <w:sz w:val="20"/>
          <w:szCs w:val="20"/>
        </w:rPr>
        <w:t>hotel settings, staff help residents to apply for their HC2</w:t>
      </w:r>
      <w:r>
        <w:rPr>
          <w:sz w:val="20"/>
          <w:szCs w:val="20"/>
        </w:rPr>
        <w:t xml:space="preserve"> when they first </w:t>
      </w:r>
      <w:r w:rsidR="0051263C">
        <w:rPr>
          <w:sz w:val="20"/>
          <w:szCs w:val="20"/>
        </w:rPr>
        <w:t>move in</w:t>
      </w:r>
      <w:r>
        <w:rPr>
          <w:sz w:val="20"/>
          <w:szCs w:val="20"/>
        </w:rPr>
        <w:t xml:space="preserve">. A HC2 certificate takes time to arrive and </w:t>
      </w:r>
      <w:r w:rsidR="0051263C">
        <w:rPr>
          <w:sz w:val="20"/>
          <w:szCs w:val="20"/>
        </w:rPr>
        <w:t xml:space="preserve">in the </w:t>
      </w:r>
      <w:proofErr w:type="gramStart"/>
      <w:r w:rsidR="0051263C">
        <w:rPr>
          <w:sz w:val="20"/>
          <w:szCs w:val="20"/>
        </w:rPr>
        <w:t>meantime</w:t>
      </w:r>
      <w:proofErr w:type="gramEnd"/>
      <w:r w:rsidR="0051263C">
        <w:rPr>
          <w:sz w:val="20"/>
          <w:szCs w:val="20"/>
        </w:rPr>
        <w:t xml:space="preserve"> individuals face a fine if they claim free prescriptions during this time. It should also be noted that HC2 certificates expire and without support some asylum seekers struggle to renew their certificates leaving them again unable to access prescription medications without sufficient funds.</w:t>
      </w:r>
    </w:p>
    <w:p w14:paraId="3BD7BC1D" w14:textId="5E588005" w:rsidR="0075793C" w:rsidRDefault="0075793C" w:rsidP="00D13C93">
      <w:pPr>
        <w:pStyle w:val="Default"/>
        <w:ind w:left="426"/>
        <w:jc w:val="both"/>
        <w:rPr>
          <w:sz w:val="20"/>
          <w:szCs w:val="20"/>
        </w:rPr>
      </w:pPr>
    </w:p>
    <w:p w14:paraId="1A9DA000" w14:textId="77777777" w:rsidR="0051263C" w:rsidRDefault="0051263C" w:rsidP="00D13C93">
      <w:pPr>
        <w:pStyle w:val="Default"/>
        <w:ind w:left="426"/>
        <w:jc w:val="both"/>
        <w:rPr>
          <w:sz w:val="20"/>
          <w:szCs w:val="20"/>
        </w:rPr>
      </w:pPr>
    </w:p>
    <w:p w14:paraId="4481A3DF" w14:textId="115389A6" w:rsidR="0051263C" w:rsidRDefault="0051263C" w:rsidP="00D13C93">
      <w:pPr>
        <w:pStyle w:val="Default"/>
        <w:ind w:left="426"/>
        <w:jc w:val="both"/>
        <w:rPr>
          <w:b/>
          <w:bCs/>
          <w:sz w:val="20"/>
        </w:rPr>
      </w:pPr>
      <w:r w:rsidRPr="0051263C">
        <w:rPr>
          <w:b/>
          <w:bCs/>
          <w:sz w:val="20"/>
        </w:rPr>
        <w:t xml:space="preserve">If the Haven or a nominated GP practice </w:t>
      </w:r>
      <w:r>
        <w:rPr>
          <w:b/>
          <w:bCs/>
          <w:sz w:val="20"/>
        </w:rPr>
        <w:t xml:space="preserve">(appendix 1) </w:t>
      </w:r>
      <w:r w:rsidRPr="0051263C">
        <w:rPr>
          <w:b/>
          <w:bCs/>
          <w:sz w:val="20"/>
        </w:rPr>
        <w:t xml:space="preserve">sees </w:t>
      </w:r>
      <w:r w:rsidRPr="0051263C">
        <w:rPr>
          <w:b/>
          <w:bCs/>
          <w:sz w:val="20"/>
          <w:u w:val="single"/>
        </w:rPr>
        <w:t>an asylum seeker that requires a prescription and does not have a valid HC2 certificate</w:t>
      </w:r>
      <w:r w:rsidRPr="0051263C">
        <w:rPr>
          <w:b/>
          <w:bCs/>
          <w:sz w:val="20"/>
        </w:rPr>
        <w:t>, they should stamp the top of the prescription using a Haven stamp to identify that this is a patient who does not have the money to pay their prescription charge.</w:t>
      </w:r>
    </w:p>
    <w:p w14:paraId="739BFE3B" w14:textId="098CC043" w:rsidR="0051263C" w:rsidRPr="0051263C" w:rsidRDefault="0051263C" w:rsidP="00D13C93">
      <w:pPr>
        <w:pStyle w:val="Default"/>
        <w:ind w:left="426"/>
        <w:jc w:val="both"/>
        <w:rPr>
          <w:b/>
          <w:bCs/>
          <w:sz w:val="20"/>
        </w:rPr>
      </w:pPr>
      <w:r w:rsidRPr="0051263C">
        <w:rPr>
          <w:b/>
          <w:bCs/>
          <w:sz w:val="20"/>
        </w:rPr>
        <w:t xml:space="preserve">The </w:t>
      </w:r>
      <w:r>
        <w:rPr>
          <w:b/>
          <w:bCs/>
          <w:sz w:val="20"/>
        </w:rPr>
        <w:t xml:space="preserve">nominated </w:t>
      </w:r>
      <w:r w:rsidRPr="0051263C">
        <w:rPr>
          <w:b/>
          <w:bCs/>
          <w:sz w:val="20"/>
        </w:rPr>
        <w:t xml:space="preserve">community pharmacy </w:t>
      </w:r>
      <w:r>
        <w:rPr>
          <w:b/>
          <w:bCs/>
          <w:sz w:val="20"/>
        </w:rPr>
        <w:t xml:space="preserve">(appendix 2) </w:t>
      </w:r>
      <w:r w:rsidRPr="0051263C">
        <w:rPr>
          <w:b/>
          <w:bCs/>
          <w:sz w:val="20"/>
        </w:rPr>
        <w:t>will then be able to dispense the prescription as normal with funding supported by the ICB.</w:t>
      </w:r>
    </w:p>
    <w:p w14:paraId="4F66657E" w14:textId="77777777" w:rsidR="0051263C" w:rsidRPr="0051263C" w:rsidRDefault="0051263C" w:rsidP="00D13C93">
      <w:pPr>
        <w:pStyle w:val="Default"/>
        <w:ind w:left="426"/>
        <w:jc w:val="both"/>
        <w:rPr>
          <w:sz w:val="20"/>
          <w:szCs w:val="20"/>
        </w:rPr>
      </w:pPr>
    </w:p>
    <w:p w14:paraId="002450AC" w14:textId="2F44D47F" w:rsidR="0051263C" w:rsidRDefault="0051263C" w:rsidP="00D13C93">
      <w:pPr>
        <w:pStyle w:val="Default"/>
        <w:ind w:left="426"/>
        <w:jc w:val="both"/>
        <w:rPr>
          <w:sz w:val="20"/>
          <w:szCs w:val="20"/>
        </w:rPr>
      </w:pPr>
      <w:r>
        <w:rPr>
          <w:sz w:val="20"/>
          <w:szCs w:val="20"/>
        </w:rPr>
        <w:t>If an asylum seeker is seen by a GP and an over-the-counter medication is required</w:t>
      </w:r>
      <w:r w:rsidR="00D13C93">
        <w:rPr>
          <w:sz w:val="20"/>
          <w:szCs w:val="20"/>
        </w:rPr>
        <w:t xml:space="preserve"> then</w:t>
      </w:r>
      <w:r>
        <w:rPr>
          <w:sz w:val="20"/>
          <w:szCs w:val="20"/>
        </w:rPr>
        <w:t xml:space="preserve"> this should be prescribed, if indicated due to limited funds, to allow them to access the medication via this scheme.</w:t>
      </w:r>
    </w:p>
    <w:p w14:paraId="62B47FC7" w14:textId="57DE843E" w:rsidR="0051263C" w:rsidRDefault="0051263C" w:rsidP="00D13C93">
      <w:pPr>
        <w:pStyle w:val="Default"/>
        <w:ind w:left="426"/>
        <w:jc w:val="both"/>
        <w:rPr>
          <w:sz w:val="20"/>
          <w:szCs w:val="20"/>
        </w:rPr>
      </w:pPr>
    </w:p>
    <w:p w14:paraId="0E305D4B" w14:textId="7F084FCA" w:rsidR="0075793C" w:rsidRDefault="0075793C" w:rsidP="00D13C93">
      <w:pPr>
        <w:pStyle w:val="Default"/>
        <w:ind w:left="426"/>
        <w:jc w:val="both"/>
        <w:rPr>
          <w:sz w:val="20"/>
          <w:szCs w:val="20"/>
        </w:rPr>
      </w:pPr>
      <w:r>
        <w:rPr>
          <w:sz w:val="20"/>
          <w:szCs w:val="20"/>
        </w:rPr>
        <w:t>A prescription should only be marked/stamped once it is established that the person does not have a valid HC2 certificate. Every effort should then be made to support the individual to acquire an up-to-date HC2 certificate (</w:t>
      </w:r>
      <w:hyperlink r:id="rId6" w:history="1">
        <w:r>
          <w:rPr>
            <w:rStyle w:val="Hyperlink"/>
            <w:sz w:val="20"/>
            <w:szCs w:val="20"/>
          </w:rPr>
          <w:t xml:space="preserve">complete an HC1 application </w:t>
        </w:r>
        <w:r w:rsidR="00D13C93">
          <w:rPr>
            <w:rStyle w:val="Hyperlink"/>
            <w:sz w:val="20"/>
            <w:szCs w:val="20"/>
          </w:rPr>
          <w:t xml:space="preserve">form </w:t>
        </w:r>
        <w:r>
          <w:rPr>
            <w:rStyle w:val="Hyperlink"/>
            <w:sz w:val="20"/>
            <w:szCs w:val="20"/>
          </w:rPr>
          <w:t>online</w:t>
        </w:r>
      </w:hyperlink>
      <w:r>
        <w:rPr>
          <w:sz w:val="20"/>
          <w:szCs w:val="20"/>
        </w:rPr>
        <w:t xml:space="preserve"> or contact</w:t>
      </w:r>
      <w:r w:rsidR="00D13C93">
        <w:rPr>
          <w:sz w:val="20"/>
          <w:szCs w:val="20"/>
        </w:rPr>
        <w:t xml:space="preserve"> the individual’s accommodation team</w:t>
      </w:r>
      <w:r>
        <w:rPr>
          <w:sz w:val="20"/>
          <w:szCs w:val="20"/>
        </w:rPr>
        <w:t xml:space="preserve"> to support).</w:t>
      </w:r>
      <w:r w:rsidR="0051263C">
        <w:rPr>
          <w:sz w:val="20"/>
          <w:szCs w:val="20"/>
        </w:rPr>
        <w:t xml:space="preserve"> Use of the stamped prescription scheme where a HC2 is available will result in an unnecessary cost to the ICB and will impact the sustainability of the scheme.</w:t>
      </w:r>
    </w:p>
    <w:p w14:paraId="2FCC1670" w14:textId="4385875A" w:rsidR="00D13C93" w:rsidRDefault="00D13C93" w:rsidP="00D13C93">
      <w:pPr>
        <w:pStyle w:val="Default"/>
        <w:ind w:left="426"/>
        <w:jc w:val="both"/>
        <w:rPr>
          <w:sz w:val="20"/>
          <w:szCs w:val="20"/>
        </w:rPr>
      </w:pPr>
    </w:p>
    <w:p w14:paraId="74A6582A" w14:textId="18980588" w:rsidR="00D13C93" w:rsidRDefault="00D13C93" w:rsidP="00D13C93">
      <w:pPr>
        <w:pStyle w:val="Default"/>
        <w:ind w:left="426"/>
        <w:jc w:val="both"/>
        <w:rPr>
          <w:sz w:val="20"/>
          <w:szCs w:val="20"/>
        </w:rPr>
      </w:pPr>
      <w:r>
        <w:rPr>
          <w:sz w:val="20"/>
          <w:szCs w:val="20"/>
        </w:rPr>
        <w:t>Unfortunately, it is not possible currently to offer this scheme for medications sent via EPS.</w:t>
      </w:r>
    </w:p>
    <w:p w14:paraId="666F289E" w14:textId="089E8135" w:rsidR="0075793C" w:rsidRDefault="0075793C" w:rsidP="0075793C">
      <w:pPr>
        <w:pStyle w:val="Default"/>
        <w:ind w:left="720"/>
        <w:rPr>
          <w:sz w:val="20"/>
          <w:szCs w:val="20"/>
        </w:rPr>
      </w:pPr>
    </w:p>
    <w:p w14:paraId="0C7BA2BE" w14:textId="77777777" w:rsidR="0051263C" w:rsidRDefault="0051263C" w:rsidP="0075793C">
      <w:pPr>
        <w:pStyle w:val="Default"/>
        <w:ind w:left="720"/>
        <w:rPr>
          <w:sz w:val="20"/>
          <w:szCs w:val="20"/>
        </w:rPr>
      </w:pPr>
    </w:p>
    <w:p w14:paraId="4E98279B" w14:textId="7CE9FBE1" w:rsidR="0075793C" w:rsidRDefault="0075793C" w:rsidP="0075793C">
      <w:pPr>
        <w:pStyle w:val="Default"/>
        <w:rPr>
          <w:b/>
          <w:bCs/>
          <w:sz w:val="20"/>
          <w:szCs w:val="20"/>
        </w:rPr>
      </w:pPr>
    </w:p>
    <w:p w14:paraId="3770DE8D" w14:textId="00168BC9" w:rsidR="00D13C93" w:rsidRDefault="00D13C93" w:rsidP="0075793C">
      <w:pPr>
        <w:pStyle w:val="Default"/>
        <w:rPr>
          <w:b/>
          <w:bCs/>
          <w:sz w:val="20"/>
          <w:szCs w:val="20"/>
        </w:rPr>
      </w:pPr>
    </w:p>
    <w:p w14:paraId="7BFD5936" w14:textId="4154597D" w:rsidR="00D13C93" w:rsidRDefault="00D13C93" w:rsidP="0075793C">
      <w:pPr>
        <w:pStyle w:val="Default"/>
        <w:rPr>
          <w:b/>
          <w:bCs/>
          <w:sz w:val="20"/>
          <w:szCs w:val="20"/>
        </w:rPr>
      </w:pPr>
    </w:p>
    <w:p w14:paraId="5BF9F50A" w14:textId="1F3A584D" w:rsidR="00D13C93" w:rsidRDefault="00D13C93" w:rsidP="0075793C">
      <w:pPr>
        <w:pStyle w:val="Default"/>
        <w:rPr>
          <w:b/>
          <w:bCs/>
          <w:sz w:val="20"/>
          <w:szCs w:val="20"/>
        </w:rPr>
      </w:pPr>
    </w:p>
    <w:p w14:paraId="1C5A4962" w14:textId="4EBDEC0C" w:rsidR="00D13C93" w:rsidRDefault="00D13C93" w:rsidP="0075793C">
      <w:pPr>
        <w:pStyle w:val="Default"/>
        <w:rPr>
          <w:b/>
          <w:bCs/>
          <w:sz w:val="20"/>
          <w:szCs w:val="20"/>
        </w:rPr>
      </w:pPr>
    </w:p>
    <w:p w14:paraId="67157215" w14:textId="77777777" w:rsidR="00D13C93" w:rsidRDefault="00D13C93" w:rsidP="0075793C">
      <w:pPr>
        <w:pStyle w:val="Default"/>
        <w:rPr>
          <w:b/>
          <w:bCs/>
          <w:sz w:val="20"/>
          <w:szCs w:val="20"/>
        </w:rPr>
      </w:pPr>
    </w:p>
    <w:p w14:paraId="77AEEC38" w14:textId="0CA92785" w:rsidR="0075793C" w:rsidRDefault="0075793C" w:rsidP="0075793C">
      <w:pPr>
        <w:pStyle w:val="Default"/>
        <w:rPr>
          <w:b/>
          <w:bCs/>
          <w:sz w:val="20"/>
          <w:szCs w:val="20"/>
        </w:rPr>
      </w:pPr>
    </w:p>
    <w:p w14:paraId="505DC081" w14:textId="77777777" w:rsidR="0075793C" w:rsidRDefault="0075793C" w:rsidP="0075793C">
      <w:pPr>
        <w:pStyle w:val="Default"/>
        <w:rPr>
          <w:b/>
          <w:bCs/>
          <w:sz w:val="20"/>
          <w:szCs w:val="20"/>
        </w:rPr>
      </w:pPr>
    </w:p>
    <w:p w14:paraId="3D30BDF7" w14:textId="3EA176AC" w:rsidR="0075793C" w:rsidRDefault="00D13C93" w:rsidP="00D13C93">
      <w:pPr>
        <w:pStyle w:val="Default"/>
        <w:numPr>
          <w:ilvl w:val="0"/>
          <w:numId w:val="2"/>
        </w:numPr>
        <w:ind w:left="426"/>
        <w:rPr>
          <w:b/>
          <w:bCs/>
          <w:sz w:val="20"/>
          <w:szCs w:val="20"/>
        </w:rPr>
      </w:pPr>
      <w:r>
        <w:rPr>
          <w:b/>
          <w:bCs/>
          <w:sz w:val="20"/>
          <w:szCs w:val="20"/>
        </w:rPr>
        <w:t xml:space="preserve">OTC Medicines </w:t>
      </w:r>
      <w:r w:rsidR="0051263C">
        <w:rPr>
          <w:b/>
          <w:bCs/>
          <w:sz w:val="20"/>
          <w:szCs w:val="20"/>
        </w:rPr>
        <w:t>Voucher Scheme</w:t>
      </w:r>
    </w:p>
    <w:p w14:paraId="79155796" w14:textId="42CE13F9" w:rsidR="0075793C" w:rsidRDefault="0075793C" w:rsidP="00D13C93">
      <w:pPr>
        <w:pStyle w:val="Default"/>
        <w:ind w:left="426"/>
        <w:rPr>
          <w:sz w:val="20"/>
          <w:szCs w:val="20"/>
        </w:rPr>
      </w:pPr>
    </w:p>
    <w:p w14:paraId="33AA6D5A" w14:textId="7B271BC2" w:rsidR="0051263C" w:rsidRDefault="0051263C" w:rsidP="00D13C93">
      <w:pPr>
        <w:pStyle w:val="Default"/>
        <w:ind w:left="426"/>
        <w:jc w:val="both"/>
        <w:rPr>
          <w:sz w:val="20"/>
          <w:szCs w:val="20"/>
        </w:rPr>
      </w:pPr>
      <w:r>
        <w:rPr>
          <w:sz w:val="20"/>
          <w:szCs w:val="20"/>
        </w:rPr>
        <w:t xml:space="preserve">To reduce the pressure on local NHS services including GP practices, 111 and 999, we have introduced a scheme to improve access to </w:t>
      </w:r>
      <w:proofErr w:type="gramStart"/>
      <w:r>
        <w:rPr>
          <w:sz w:val="20"/>
          <w:szCs w:val="20"/>
        </w:rPr>
        <w:t>over-the-counter</w:t>
      </w:r>
      <w:proofErr w:type="gramEnd"/>
      <w:r>
        <w:rPr>
          <w:sz w:val="20"/>
          <w:szCs w:val="20"/>
        </w:rPr>
        <w:t xml:space="preserve"> (OTC) medication the asylum seeker population residing in initial accommodation hotels across BNSSG.</w:t>
      </w:r>
    </w:p>
    <w:p w14:paraId="2660D58B" w14:textId="77777777" w:rsidR="0051263C" w:rsidRDefault="0051263C" w:rsidP="00D13C93">
      <w:pPr>
        <w:pStyle w:val="Default"/>
        <w:ind w:left="426"/>
        <w:jc w:val="both"/>
        <w:rPr>
          <w:sz w:val="20"/>
          <w:szCs w:val="20"/>
        </w:rPr>
      </w:pPr>
    </w:p>
    <w:p w14:paraId="619A99A5" w14:textId="50C6F162" w:rsidR="0051263C" w:rsidRDefault="0051263C" w:rsidP="00D13C93">
      <w:pPr>
        <w:pStyle w:val="Default"/>
        <w:ind w:left="426"/>
        <w:jc w:val="both"/>
        <w:rPr>
          <w:sz w:val="20"/>
          <w:szCs w:val="20"/>
        </w:rPr>
      </w:pPr>
      <w:r>
        <w:rPr>
          <w:sz w:val="20"/>
          <w:szCs w:val="20"/>
        </w:rPr>
        <w:t xml:space="preserve">This scheme is to enable hotel residents to use a pharmacy first approach to self-manage minor illness and ailments. </w:t>
      </w:r>
      <w:r w:rsidR="0075793C">
        <w:rPr>
          <w:sz w:val="20"/>
          <w:szCs w:val="20"/>
        </w:rPr>
        <w:t xml:space="preserve">The ICB has an agreed list of OTC medicines that </w:t>
      </w:r>
      <w:r>
        <w:rPr>
          <w:sz w:val="20"/>
          <w:szCs w:val="20"/>
        </w:rPr>
        <w:t>an individual</w:t>
      </w:r>
      <w:r w:rsidR="0075793C">
        <w:rPr>
          <w:sz w:val="20"/>
          <w:szCs w:val="20"/>
        </w:rPr>
        <w:t xml:space="preserve"> can have access (appendix </w:t>
      </w:r>
      <w:r>
        <w:rPr>
          <w:sz w:val="20"/>
          <w:szCs w:val="20"/>
        </w:rPr>
        <w:t>3</w:t>
      </w:r>
      <w:r w:rsidR="0075793C">
        <w:rPr>
          <w:sz w:val="20"/>
          <w:szCs w:val="20"/>
        </w:rPr>
        <w:t xml:space="preserve">). </w:t>
      </w:r>
    </w:p>
    <w:p w14:paraId="5817C497" w14:textId="77777777" w:rsidR="0051263C" w:rsidRDefault="0051263C" w:rsidP="00D13C93">
      <w:pPr>
        <w:pStyle w:val="Default"/>
        <w:ind w:left="426"/>
        <w:jc w:val="both"/>
        <w:rPr>
          <w:sz w:val="20"/>
          <w:szCs w:val="20"/>
        </w:rPr>
      </w:pPr>
    </w:p>
    <w:p w14:paraId="7C10A340" w14:textId="202350AC" w:rsidR="0051263C" w:rsidRPr="0051263C" w:rsidRDefault="0075793C" w:rsidP="00D13C93">
      <w:pPr>
        <w:pStyle w:val="Default"/>
        <w:ind w:left="426"/>
        <w:jc w:val="both"/>
        <w:rPr>
          <w:b/>
          <w:bCs/>
          <w:sz w:val="20"/>
          <w:szCs w:val="20"/>
        </w:rPr>
      </w:pPr>
      <w:r w:rsidRPr="0051263C">
        <w:rPr>
          <w:b/>
          <w:bCs/>
          <w:sz w:val="20"/>
          <w:szCs w:val="20"/>
        </w:rPr>
        <w:t>If an OTC medicine is required</w:t>
      </w:r>
      <w:r w:rsidR="00D13C93">
        <w:rPr>
          <w:b/>
          <w:bCs/>
          <w:sz w:val="20"/>
          <w:szCs w:val="20"/>
        </w:rPr>
        <w:t>,</w:t>
      </w:r>
      <w:r w:rsidRPr="0051263C">
        <w:rPr>
          <w:b/>
          <w:bCs/>
          <w:sz w:val="20"/>
          <w:szCs w:val="20"/>
        </w:rPr>
        <w:t xml:space="preserve"> patients should present to the</w:t>
      </w:r>
      <w:r w:rsidR="0051263C" w:rsidRPr="0051263C">
        <w:rPr>
          <w:b/>
          <w:bCs/>
          <w:sz w:val="20"/>
          <w:szCs w:val="20"/>
        </w:rPr>
        <w:t>ir</w:t>
      </w:r>
      <w:r w:rsidRPr="0051263C">
        <w:rPr>
          <w:b/>
          <w:bCs/>
          <w:sz w:val="20"/>
          <w:szCs w:val="20"/>
        </w:rPr>
        <w:t xml:space="preserve"> hotel </w:t>
      </w:r>
      <w:r w:rsidR="00D13C93">
        <w:rPr>
          <w:b/>
          <w:bCs/>
          <w:sz w:val="20"/>
          <w:szCs w:val="20"/>
        </w:rPr>
        <w:t>sup</w:t>
      </w:r>
      <w:r w:rsidR="00A368E9">
        <w:rPr>
          <w:b/>
          <w:bCs/>
          <w:sz w:val="20"/>
          <w:szCs w:val="20"/>
        </w:rPr>
        <w:t>p</w:t>
      </w:r>
      <w:r w:rsidR="00D13C93">
        <w:rPr>
          <w:b/>
          <w:bCs/>
          <w:sz w:val="20"/>
          <w:szCs w:val="20"/>
        </w:rPr>
        <w:t>ort</w:t>
      </w:r>
      <w:r w:rsidRPr="0051263C">
        <w:rPr>
          <w:b/>
          <w:bCs/>
          <w:sz w:val="20"/>
          <w:szCs w:val="20"/>
        </w:rPr>
        <w:t xml:space="preserve"> staff where a single use voucher will be supplied for use at the community pharmacy. The voucher will entitle the patient to a consultation with the healthcare assistant or community pharmacist and drug costs of medicines supplied within the agreed list. </w:t>
      </w:r>
    </w:p>
    <w:p w14:paraId="146D8C7A" w14:textId="0305440F" w:rsidR="0075793C" w:rsidRPr="0051263C" w:rsidRDefault="0051263C" w:rsidP="00D13C93">
      <w:pPr>
        <w:pStyle w:val="Default"/>
        <w:ind w:left="426"/>
        <w:jc w:val="both"/>
        <w:rPr>
          <w:b/>
          <w:bCs/>
          <w:sz w:val="20"/>
          <w:szCs w:val="20"/>
        </w:rPr>
      </w:pPr>
      <w:r w:rsidRPr="0051263C">
        <w:rPr>
          <w:b/>
          <w:bCs/>
          <w:sz w:val="20"/>
          <w:szCs w:val="20"/>
        </w:rPr>
        <w:t>All Pharmacies have access to language and translation services for the consultations.</w:t>
      </w:r>
    </w:p>
    <w:p w14:paraId="18C54414" w14:textId="62D16DC8" w:rsidR="0051263C" w:rsidRDefault="0051263C" w:rsidP="00D13C93">
      <w:pPr>
        <w:pStyle w:val="Default"/>
        <w:ind w:left="426"/>
        <w:jc w:val="both"/>
        <w:rPr>
          <w:sz w:val="20"/>
          <w:szCs w:val="20"/>
        </w:rPr>
      </w:pPr>
    </w:p>
    <w:p w14:paraId="176D8C8B" w14:textId="42050908" w:rsidR="0051263C" w:rsidRDefault="0051263C" w:rsidP="00D13C93">
      <w:pPr>
        <w:pStyle w:val="Default"/>
        <w:ind w:left="426"/>
        <w:jc w:val="both"/>
        <w:rPr>
          <w:sz w:val="20"/>
          <w:szCs w:val="20"/>
        </w:rPr>
      </w:pPr>
      <w:r>
        <w:rPr>
          <w:sz w:val="20"/>
          <w:szCs w:val="20"/>
        </w:rPr>
        <w:t xml:space="preserve">Some asylum seekers are housed in accommodation that is more remote and require funded transport to </w:t>
      </w:r>
      <w:r w:rsidR="00D13C93">
        <w:rPr>
          <w:sz w:val="20"/>
          <w:szCs w:val="20"/>
        </w:rPr>
        <w:t>access</w:t>
      </w:r>
      <w:r>
        <w:rPr>
          <w:sz w:val="20"/>
          <w:szCs w:val="20"/>
        </w:rPr>
        <w:t xml:space="preserve"> their GP surgery or other healthcare appointments.  These accommodation settings are equally distant from the</w:t>
      </w:r>
      <w:r w:rsidR="00D13C93">
        <w:rPr>
          <w:sz w:val="20"/>
          <w:szCs w:val="20"/>
        </w:rPr>
        <w:t>ir</w:t>
      </w:r>
      <w:r>
        <w:rPr>
          <w:sz w:val="20"/>
          <w:szCs w:val="20"/>
        </w:rPr>
        <w:t xml:space="preserve"> nearest nominated pharmacy. If a patient seen in such a healthcare setting requires over the counter medication for an immediate problem, this should be provided by prescription in the first instance rather than directing individuals back to their accommodation to collect a voucher. Education can then be given on accessing the voucher scheme first in future.</w:t>
      </w:r>
    </w:p>
    <w:p w14:paraId="7F73C460" w14:textId="174184CC" w:rsidR="0051263C" w:rsidRDefault="0051263C" w:rsidP="0051263C">
      <w:pPr>
        <w:pStyle w:val="Default"/>
        <w:ind w:left="720"/>
        <w:jc w:val="both"/>
        <w:rPr>
          <w:sz w:val="20"/>
          <w:szCs w:val="20"/>
        </w:rPr>
      </w:pPr>
    </w:p>
    <w:p w14:paraId="47904B91" w14:textId="77777777" w:rsidR="0051263C" w:rsidRDefault="0051263C" w:rsidP="0051263C">
      <w:pPr>
        <w:pStyle w:val="Default"/>
        <w:ind w:left="720"/>
        <w:jc w:val="both"/>
        <w:rPr>
          <w:sz w:val="20"/>
          <w:szCs w:val="20"/>
        </w:rPr>
      </w:pPr>
    </w:p>
    <w:p w14:paraId="3270D88D" w14:textId="111D3C9F" w:rsidR="0051263C" w:rsidRDefault="0051263C" w:rsidP="0051263C">
      <w:pPr>
        <w:pStyle w:val="Default"/>
        <w:ind w:left="720"/>
        <w:jc w:val="both"/>
        <w:rPr>
          <w:sz w:val="20"/>
          <w:szCs w:val="20"/>
        </w:rPr>
      </w:pPr>
    </w:p>
    <w:p w14:paraId="0200F9DC" w14:textId="77777777" w:rsidR="001C0792" w:rsidRDefault="001C0792" w:rsidP="0051263C">
      <w:pPr>
        <w:pStyle w:val="Default"/>
        <w:ind w:left="720"/>
        <w:rPr>
          <w:sz w:val="20"/>
          <w:szCs w:val="20"/>
        </w:rPr>
      </w:pPr>
    </w:p>
    <w:p w14:paraId="3DF677C8" w14:textId="6E34E953" w:rsidR="0051263C" w:rsidRDefault="0051263C">
      <w:pPr>
        <w:rPr>
          <w:sz w:val="20"/>
          <w:szCs w:val="20"/>
        </w:rPr>
      </w:pPr>
    </w:p>
    <w:p w14:paraId="7EE80312" w14:textId="25CAB55D" w:rsidR="00D70599" w:rsidRDefault="00D70599">
      <w:pPr>
        <w:rPr>
          <w:sz w:val="20"/>
          <w:szCs w:val="20"/>
        </w:rPr>
      </w:pPr>
    </w:p>
    <w:p w14:paraId="6C9C72F2" w14:textId="48F296AA" w:rsidR="00D70599" w:rsidRDefault="00D70599">
      <w:pPr>
        <w:rPr>
          <w:sz w:val="20"/>
          <w:szCs w:val="20"/>
        </w:rPr>
      </w:pPr>
    </w:p>
    <w:p w14:paraId="1D8ACF34" w14:textId="713BB064" w:rsidR="00D70599" w:rsidRDefault="00D70599">
      <w:pPr>
        <w:rPr>
          <w:sz w:val="20"/>
          <w:szCs w:val="20"/>
        </w:rPr>
      </w:pPr>
    </w:p>
    <w:p w14:paraId="19EAD681" w14:textId="2685F09C" w:rsidR="00D70599" w:rsidRDefault="00D70599">
      <w:pPr>
        <w:rPr>
          <w:sz w:val="20"/>
          <w:szCs w:val="20"/>
        </w:rPr>
      </w:pPr>
    </w:p>
    <w:p w14:paraId="7B6C51A2" w14:textId="0584A034" w:rsidR="00D70599" w:rsidRDefault="00D70599">
      <w:pPr>
        <w:rPr>
          <w:sz w:val="20"/>
          <w:szCs w:val="20"/>
        </w:rPr>
      </w:pPr>
    </w:p>
    <w:p w14:paraId="4C02912E" w14:textId="457D2DD9" w:rsidR="00D70599" w:rsidRDefault="00D70599">
      <w:pPr>
        <w:rPr>
          <w:sz w:val="20"/>
          <w:szCs w:val="20"/>
        </w:rPr>
      </w:pPr>
    </w:p>
    <w:p w14:paraId="6E54AC0E" w14:textId="41598734" w:rsidR="009544EF" w:rsidRDefault="009544EF">
      <w:pPr>
        <w:rPr>
          <w:sz w:val="20"/>
          <w:szCs w:val="20"/>
        </w:rPr>
      </w:pPr>
    </w:p>
    <w:p w14:paraId="22A4A1F2" w14:textId="20E58267" w:rsidR="009544EF" w:rsidRDefault="009544EF">
      <w:pPr>
        <w:rPr>
          <w:sz w:val="20"/>
          <w:szCs w:val="20"/>
        </w:rPr>
      </w:pPr>
    </w:p>
    <w:p w14:paraId="1FC879D1" w14:textId="77777777" w:rsidR="009544EF" w:rsidRDefault="009544EF">
      <w:pPr>
        <w:rPr>
          <w:sz w:val="20"/>
          <w:szCs w:val="20"/>
        </w:rPr>
      </w:pPr>
    </w:p>
    <w:p w14:paraId="785B5A7E" w14:textId="77777777" w:rsidR="00D70599" w:rsidRDefault="00D70599">
      <w:pPr>
        <w:rPr>
          <w:sz w:val="20"/>
          <w:szCs w:val="20"/>
        </w:rPr>
      </w:pPr>
    </w:p>
    <w:p w14:paraId="0C387811" w14:textId="4EE0C3B2" w:rsidR="00D70599" w:rsidRDefault="0051263C" w:rsidP="00D70599">
      <w:pPr>
        <w:pStyle w:val="Default"/>
        <w:rPr>
          <w:b/>
          <w:bCs/>
          <w:sz w:val="20"/>
          <w:szCs w:val="20"/>
        </w:rPr>
      </w:pPr>
      <w:r w:rsidRPr="0051263C">
        <w:rPr>
          <w:b/>
          <w:bCs/>
          <w:sz w:val="20"/>
          <w:szCs w:val="20"/>
        </w:rPr>
        <w:t xml:space="preserve">If you are </w:t>
      </w:r>
      <w:r w:rsidR="00D13C93">
        <w:rPr>
          <w:b/>
          <w:bCs/>
          <w:sz w:val="20"/>
          <w:szCs w:val="20"/>
        </w:rPr>
        <w:t xml:space="preserve">a </w:t>
      </w:r>
      <w:r w:rsidRPr="0051263C">
        <w:rPr>
          <w:b/>
          <w:bCs/>
          <w:sz w:val="20"/>
          <w:szCs w:val="20"/>
        </w:rPr>
        <w:t>nominated GP surgery and would like further information about these schemes</w:t>
      </w:r>
      <w:r>
        <w:rPr>
          <w:b/>
          <w:bCs/>
          <w:sz w:val="20"/>
          <w:szCs w:val="20"/>
        </w:rPr>
        <w:t>,</w:t>
      </w:r>
      <w:r w:rsidRPr="0051263C">
        <w:rPr>
          <w:b/>
          <w:bCs/>
          <w:sz w:val="20"/>
          <w:szCs w:val="20"/>
        </w:rPr>
        <w:t xml:space="preserve"> or require access to a Haven Stamp, please contact</w:t>
      </w:r>
      <w:r w:rsidR="00D70599">
        <w:rPr>
          <w:b/>
          <w:bCs/>
          <w:sz w:val="20"/>
          <w:szCs w:val="20"/>
        </w:rPr>
        <w:t>:</w:t>
      </w:r>
    </w:p>
    <w:p w14:paraId="1FC06EF7" w14:textId="4F459FBB" w:rsidR="00D70599" w:rsidRDefault="00D70599" w:rsidP="00384762">
      <w:pPr>
        <w:pStyle w:val="Default"/>
        <w:jc w:val="center"/>
        <w:rPr>
          <w:b/>
          <w:bCs/>
          <w:sz w:val="20"/>
          <w:szCs w:val="20"/>
        </w:rPr>
      </w:pPr>
    </w:p>
    <w:p w14:paraId="3D0DAD6A" w14:textId="77777777" w:rsidR="00D70599" w:rsidRDefault="00D70599" w:rsidP="00384762">
      <w:pPr>
        <w:pStyle w:val="Default"/>
        <w:jc w:val="center"/>
        <w:rPr>
          <w:b/>
          <w:bCs/>
          <w:sz w:val="20"/>
          <w:szCs w:val="20"/>
        </w:rPr>
      </w:pPr>
    </w:p>
    <w:p w14:paraId="143B7054" w14:textId="77777777" w:rsidR="00D70599" w:rsidRPr="00D70599" w:rsidRDefault="00D70599" w:rsidP="00D70599">
      <w:pPr>
        <w:pStyle w:val="Default"/>
        <w:rPr>
          <w:sz w:val="20"/>
          <w:szCs w:val="20"/>
        </w:rPr>
      </w:pPr>
      <w:r w:rsidRPr="00D70599">
        <w:rPr>
          <w:sz w:val="20"/>
          <w:szCs w:val="20"/>
        </w:rPr>
        <w:t>The Haven, Asylum and Refugee Health Service</w:t>
      </w:r>
    </w:p>
    <w:p w14:paraId="5A13822F" w14:textId="069AA582" w:rsidR="00D70599" w:rsidRPr="00D70599" w:rsidRDefault="00D70599" w:rsidP="00D70599">
      <w:pPr>
        <w:pStyle w:val="Default"/>
        <w:rPr>
          <w:sz w:val="20"/>
          <w:szCs w:val="20"/>
        </w:rPr>
      </w:pPr>
      <w:r w:rsidRPr="00D70599">
        <w:rPr>
          <w:sz w:val="20"/>
          <w:szCs w:val="20"/>
        </w:rPr>
        <w:t>Montpelier Health Centre, Bath Buildings, Bristol, BS6 5PT</w:t>
      </w:r>
    </w:p>
    <w:p w14:paraId="12B8E79F" w14:textId="71564467" w:rsidR="00D70599" w:rsidRPr="00D70599" w:rsidRDefault="00D70599" w:rsidP="00D70599">
      <w:pPr>
        <w:pStyle w:val="Default"/>
        <w:rPr>
          <w:sz w:val="20"/>
          <w:szCs w:val="20"/>
        </w:rPr>
      </w:pPr>
      <w:r w:rsidRPr="00D70599">
        <w:rPr>
          <w:sz w:val="20"/>
          <w:szCs w:val="20"/>
        </w:rPr>
        <w:t xml:space="preserve">Email: </w:t>
      </w:r>
      <w:hyperlink r:id="rId7" w:history="1">
        <w:r w:rsidRPr="00D70599">
          <w:rPr>
            <w:rStyle w:val="Hyperlink"/>
            <w:sz w:val="20"/>
            <w:szCs w:val="20"/>
          </w:rPr>
          <w:t>the.haven@nhs.net</w:t>
        </w:r>
      </w:hyperlink>
    </w:p>
    <w:p w14:paraId="511F6FE6" w14:textId="68F61CF1" w:rsidR="00D70599" w:rsidRPr="00D70599" w:rsidRDefault="00D70599" w:rsidP="00D70599">
      <w:pPr>
        <w:pStyle w:val="Default"/>
        <w:rPr>
          <w:sz w:val="20"/>
          <w:szCs w:val="20"/>
        </w:rPr>
      </w:pPr>
      <w:r w:rsidRPr="00D70599">
        <w:rPr>
          <w:sz w:val="20"/>
          <w:szCs w:val="20"/>
        </w:rPr>
        <w:t xml:space="preserve">Phone: 0117 9703887 </w:t>
      </w:r>
    </w:p>
    <w:p w14:paraId="4554DA3C" w14:textId="2363A1B1" w:rsidR="0051263C" w:rsidRPr="0051263C" w:rsidRDefault="0051263C" w:rsidP="0075793C">
      <w:pPr>
        <w:rPr>
          <w:b/>
          <w:bCs/>
          <w:sz w:val="20"/>
          <w:szCs w:val="20"/>
        </w:rPr>
      </w:pPr>
      <w:r w:rsidRPr="0051263C">
        <w:rPr>
          <w:b/>
          <w:bCs/>
          <w:sz w:val="20"/>
          <w:szCs w:val="20"/>
        </w:rPr>
        <w:lastRenderedPageBreak/>
        <w:t>Appendix 1: Nominated GP Surgeries</w:t>
      </w:r>
    </w:p>
    <w:tbl>
      <w:tblPr>
        <w:tblStyle w:val="TableGrid"/>
        <w:tblW w:w="0" w:type="auto"/>
        <w:tblLook w:val="04A0" w:firstRow="1" w:lastRow="0" w:firstColumn="1" w:lastColumn="0" w:noHBand="0" w:noVBand="1"/>
      </w:tblPr>
      <w:tblGrid>
        <w:gridCol w:w="9016"/>
      </w:tblGrid>
      <w:tr w:rsidR="0051263C" w:rsidRPr="0051263C" w14:paraId="1F204E1D" w14:textId="77777777" w:rsidTr="0051263C">
        <w:tc>
          <w:tcPr>
            <w:tcW w:w="9242" w:type="dxa"/>
          </w:tcPr>
          <w:p w14:paraId="7B379A1D" w14:textId="59DE22B1" w:rsidR="0051263C" w:rsidRPr="0051263C" w:rsidRDefault="0051263C" w:rsidP="00181B89">
            <w:pPr>
              <w:rPr>
                <w:b/>
                <w:bCs/>
                <w:sz w:val="20"/>
                <w:szCs w:val="20"/>
              </w:rPr>
            </w:pPr>
            <w:r w:rsidRPr="0051263C">
              <w:rPr>
                <w:b/>
                <w:bCs/>
                <w:sz w:val="20"/>
                <w:szCs w:val="20"/>
              </w:rPr>
              <w:t>GP Surgeries</w:t>
            </w:r>
          </w:p>
        </w:tc>
      </w:tr>
      <w:tr w:rsidR="0051263C" w:rsidRPr="0051263C" w14:paraId="59EDC115" w14:textId="77777777" w:rsidTr="0051263C">
        <w:tc>
          <w:tcPr>
            <w:tcW w:w="9242" w:type="dxa"/>
          </w:tcPr>
          <w:p w14:paraId="18323A28" w14:textId="77777777" w:rsidR="0051263C" w:rsidRPr="0051263C" w:rsidRDefault="0051263C" w:rsidP="00181B89">
            <w:pPr>
              <w:pStyle w:val="NoSpacing"/>
            </w:pPr>
            <w:r w:rsidRPr="0051263C">
              <w:t>168 Medical</w:t>
            </w:r>
          </w:p>
        </w:tc>
      </w:tr>
      <w:tr w:rsidR="0051263C" w:rsidRPr="0051263C" w14:paraId="75FCCAB5" w14:textId="77777777" w:rsidTr="0051263C">
        <w:tc>
          <w:tcPr>
            <w:tcW w:w="9242" w:type="dxa"/>
          </w:tcPr>
          <w:p w14:paraId="11153772" w14:textId="1FE49F27" w:rsidR="0051263C" w:rsidRPr="0051263C" w:rsidRDefault="0051263C" w:rsidP="00181B89">
            <w:pPr>
              <w:pStyle w:val="NoSpacing"/>
            </w:pPr>
            <w:r w:rsidRPr="0051263C">
              <w:t>Bradley Stoke Surgery</w:t>
            </w:r>
          </w:p>
        </w:tc>
      </w:tr>
      <w:tr w:rsidR="0051263C" w:rsidRPr="0051263C" w14:paraId="640D5303" w14:textId="77777777" w:rsidTr="0051263C">
        <w:tc>
          <w:tcPr>
            <w:tcW w:w="9242" w:type="dxa"/>
          </w:tcPr>
          <w:p w14:paraId="7DF967BA" w14:textId="77777777" w:rsidR="0051263C" w:rsidRPr="0051263C" w:rsidRDefault="0051263C" w:rsidP="00181B89">
            <w:pPr>
              <w:pStyle w:val="NoSpacing"/>
            </w:pPr>
            <w:r w:rsidRPr="0051263C">
              <w:t>Bridge View Medical Centre</w:t>
            </w:r>
          </w:p>
        </w:tc>
      </w:tr>
      <w:tr w:rsidR="0051263C" w:rsidRPr="0051263C" w14:paraId="3E76D02E" w14:textId="77777777" w:rsidTr="0051263C">
        <w:tc>
          <w:tcPr>
            <w:tcW w:w="9242" w:type="dxa"/>
          </w:tcPr>
          <w:p w14:paraId="6E369173" w14:textId="77777777" w:rsidR="0051263C" w:rsidRPr="0051263C" w:rsidRDefault="0051263C" w:rsidP="00181B89">
            <w:pPr>
              <w:pStyle w:val="NoSpacing"/>
            </w:pPr>
            <w:r w:rsidRPr="0051263C">
              <w:t>Broadmead Health centre</w:t>
            </w:r>
          </w:p>
        </w:tc>
      </w:tr>
      <w:tr w:rsidR="0051263C" w:rsidRPr="0051263C" w14:paraId="506CDF23" w14:textId="77777777" w:rsidTr="0051263C">
        <w:tc>
          <w:tcPr>
            <w:tcW w:w="9242" w:type="dxa"/>
          </w:tcPr>
          <w:p w14:paraId="6F1D41A9" w14:textId="77777777" w:rsidR="0051263C" w:rsidRPr="0051263C" w:rsidRDefault="0051263C" w:rsidP="00181B89">
            <w:pPr>
              <w:pStyle w:val="NoSpacing"/>
            </w:pPr>
            <w:r w:rsidRPr="0051263C">
              <w:t>Charlotte Keel Medical Practice</w:t>
            </w:r>
          </w:p>
        </w:tc>
      </w:tr>
      <w:tr w:rsidR="0051263C" w:rsidRPr="0051263C" w14:paraId="0A14C939" w14:textId="77777777" w:rsidTr="0051263C">
        <w:tc>
          <w:tcPr>
            <w:tcW w:w="9242" w:type="dxa"/>
          </w:tcPr>
          <w:p w14:paraId="7BB92D89" w14:textId="77777777" w:rsidR="0051263C" w:rsidRPr="0051263C" w:rsidRDefault="0051263C" w:rsidP="00181B89">
            <w:pPr>
              <w:pStyle w:val="NoSpacing"/>
            </w:pPr>
            <w:r w:rsidRPr="0051263C">
              <w:t>Concorde Medical Centre</w:t>
            </w:r>
          </w:p>
        </w:tc>
      </w:tr>
      <w:tr w:rsidR="0051263C" w:rsidRPr="0051263C" w14:paraId="53ECA5C7" w14:textId="77777777" w:rsidTr="0051263C">
        <w:tc>
          <w:tcPr>
            <w:tcW w:w="9242" w:type="dxa"/>
          </w:tcPr>
          <w:p w14:paraId="5A784B46" w14:textId="77777777" w:rsidR="0051263C" w:rsidRPr="0051263C" w:rsidRDefault="0051263C" w:rsidP="00181B89">
            <w:pPr>
              <w:pStyle w:val="NoSpacing"/>
            </w:pPr>
            <w:r w:rsidRPr="0051263C">
              <w:t>Coniston Medical Centre</w:t>
            </w:r>
          </w:p>
        </w:tc>
      </w:tr>
      <w:tr w:rsidR="0051263C" w:rsidRPr="0051263C" w14:paraId="06F2196C" w14:textId="77777777" w:rsidTr="0051263C">
        <w:tc>
          <w:tcPr>
            <w:tcW w:w="9242" w:type="dxa"/>
          </w:tcPr>
          <w:p w14:paraId="38A0ABF8" w14:textId="77777777" w:rsidR="0051263C" w:rsidRPr="0051263C" w:rsidRDefault="0051263C" w:rsidP="00181B89">
            <w:pPr>
              <w:pStyle w:val="NoSpacing"/>
            </w:pPr>
            <w:r w:rsidRPr="0051263C">
              <w:t>Mendip Vale Medical Group – Pudding Pie Lane</w:t>
            </w:r>
          </w:p>
        </w:tc>
      </w:tr>
      <w:tr w:rsidR="0051263C" w:rsidRPr="0051263C" w14:paraId="141EE56A" w14:textId="77777777" w:rsidTr="0051263C">
        <w:tc>
          <w:tcPr>
            <w:tcW w:w="9242" w:type="dxa"/>
          </w:tcPr>
          <w:p w14:paraId="10C5ECEC" w14:textId="77777777" w:rsidR="0051263C" w:rsidRPr="0051263C" w:rsidRDefault="0051263C" w:rsidP="00181B89">
            <w:pPr>
              <w:pStyle w:val="NoSpacing"/>
            </w:pPr>
            <w:r w:rsidRPr="0051263C">
              <w:t>Montpelier Health Centre</w:t>
            </w:r>
          </w:p>
        </w:tc>
      </w:tr>
      <w:tr w:rsidR="0051263C" w:rsidRPr="0051263C" w14:paraId="2BA624F5" w14:textId="77777777" w:rsidTr="0051263C">
        <w:tc>
          <w:tcPr>
            <w:tcW w:w="9242" w:type="dxa"/>
          </w:tcPr>
          <w:p w14:paraId="0053D885" w14:textId="77777777" w:rsidR="0051263C" w:rsidRPr="0051263C" w:rsidRDefault="0051263C" w:rsidP="00181B89">
            <w:pPr>
              <w:pStyle w:val="NoSpacing"/>
            </w:pPr>
            <w:r w:rsidRPr="0051263C">
              <w:t>Stoke Gifford Medical Centre</w:t>
            </w:r>
          </w:p>
        </w:tc>
      </w:tr>
    </w:tbl>
    <w:p w14:paraId="70C5E307" w14:textId="1CC271E5" w:rsidR="0075793C" w:rsidRDefault="0075793C">
      <w:pPr>
        <w:pStyle w:val="Default"/>
      </w:pPr>
    </w:p>
    <w:p w14:paraId="6A981E8D" w14:textId="68D9088C" w:rsidR="0051263C" w:rsidRDefault="0051263C">
      <w:pPr>
        <w:pStyle w:val="Default"/>
      </w:pPr>
    </w:p>
    <w:p w14:paraId="6929D054" w14:textId="77777777" w:rsidR="0051263C" w:rsidRDefault="0051263C">
      <w:pPr>
        <w:pStyle w:val="Default"/>
      </w:pPr>
    </w:p>
    <w:p w14:paraId="1F3E4F7C" w14:textId="05309368" w:rsidR="0051263C" w:rsidRPr="0051263C" w:rsidRDefault="0051263C">
      <w:pPr>
        <w:pStyle w:val="Default"/>
        <w:rPr>
          <w:rFonts w:asciiTheme="minorHAnsi" w:hAnsiTheme="minorHAnsi" w:cstheme="minorHAnsi"/>
          <w:b/>
          <w:bCs/>
          <w:sz w:val="20"/>
          <w:szCs w:val="20"/>
        </w:rPr>
      </w:pPr>
      <w:r w:rsidRPr="0051263C">
        <w:rPr>
          <w:rFonts w:asciiTheme="minorHAnsi" w:hAnsiTheme="minorHAnsi" w:cstheme="minorHAnsi"/>
          <w:b/>
          <w:bCs/>
          <w:sz w:val="20"/>
          <w:szCs w:val="20"/>
        </w:rPr>
        <w:t>Appendix 2: Nominated Pharmacies</w:t>
      </w:r>
    </w:p>
    <w:p w14:paraId="3393A505" w14:textId="77777777" w:rsidR="0051263C" w:rsidRPr="0051263C" w:rsidRDefault="0051263C">
      <w:pPr>
        <w:pStyle w:val="Default"/>
        <w:rPr>
          <w:b/>
          <w:bCs/>
          <w:sz w:val="20"/>
          <w:szCs w:val="20"/>
        </w:rPr>
      </w:pPr>
    </w:p>
    <w:tbl>
      <w:tblPr>
        <w:tblStyle w:val="TableGrid"/>
        <w:tblW w:w="0" w:type="auto"/>
        <w:tblLook w:val="04A0" w:firstRow="1" w:lastRow="0" w:firstColumn="1" w:lastColumn="0" w:noHBand="0" w:noVBand="1"/>
      </w:tblPr>
      <w:tblGrid>
        <w:gridCol w:w="9016"/>
      </w:tblGrid>
      <w:tr w:rsidR="0051263C" w:rsidRPr="0051263C" w14:paraId="63B5BE6A" w14:textId="77777777" w:rsidTr="4B84F83E">
        <w:tc>
          <w:tcPr>
            <w:tcW w:w="9242" w:type="dxa"/>
          </w:tcPr>
          <w:p w14:paraId="6EA5A4F2" w14:textId="642DC71E" w:rsidR="0051263C" w:rsidRPr="0051263C" w:rsidRDefault="0051263C" w:rsidP="00D75BD6">
            <w:pPr>
              <w:pStyle w:val="Default"/>
              <w:rPr>
                <w:b/>
                <w:bCs/>
                <w:sz w:val="20"/>
                <w:szCs w:val="20"/>
              </w:rPr>
            </w:pPr>
            <w:r w:rsidRPr="0051263C">
              <w:rPr>
                <w:b/>
                <w:bCs/>
                <w:sz w:val="20"/>
                <w:szCs w:val="20"/>
              </w:rPr>
              <w:t>Pharmacies</w:t>
            </w:r>
          </w:p>
        </w:tc>
      </w:tr>
      <w:tr w:rsidR="0051263C" w:rsidRPr="0051263C" w14:paraId="47357423" w14:textId="77777777" w:rsidTr="4B84F83E">
        <w:tc>
          <w:tcPr>
            <w:tcW w:w="9242" w:type="dxa"/>
          </w:tcPr>
          <w:p w14:paraId="17D0FAE2" w14:textId="0ADE7916" w:rsidR="0051263C" w:rsidRPr="0051263C" w:rsidRDefault="4B84F83E" w:rsidP="4B84F83E">
            <w:pPr>
              <w:pStyle w:val="Default"/>
              <w:rPr>
                <w:rFonts w:cstheme="minorBidi"/>
                <w:color w:val="auto"/>
                <w:sz w:val="20"/>
                <w:szCs w:val="20"/>
              </w:rPr>
            </w:pPr>
            <w:r w:rsidRPr="4B84F83E">
              <w:rPr>
                <w:rFonts w:cstheme="minorBidi"/>
                <w:color w:val="auto"/>
                <w:sz w:val="20"/>
                <w:szCs w:val="20"/>
              </w:rPr>
              <w:t xml:space="preserve">Asda Bedminster </w:t>
            </w:r>
            <w:r w:rsidRPr="4B84F83E">
              <w:rPr>
                <w:color w:val="auto"/>
                <w:sz w:val="21"/>
                <w:szCs w:val="21"/>
              </w:rPr>
              <w:t xml:space="preserve">BS3 4JY </w:t>
            </w:r>
            <w:r w:rsidRPr="4B84F83E">
              <w:rPr>
                <w:color w:val="auto"/>
              </w:rPr>
              <w:t xml:space="preserve"> </w:t>
            </w:r>
          </w:p>
        </w:tc>
      </w:tr>
      <w:tr w:rsidR="0051263C" w:rsidRPr="0051263C" w14:paraId="0B7969EB" w14:textId="77777777" w:rsidTr="4B84F83E">
        <w:tc>
          <w:tcPr>
            <w:tcW w:w="9242" w:type="dxa"/>
          </w:tcPr>
          <w:p w14:paraId="68B539DB" w14:textId="3CC12CCC" w:rsidR="0051263C" w:rsidRPr="0051263C" w:rsidRDefault="4B84F83E" w:rsidP="4B84F83E">
            <w:pPr>
              <w:pStyle w:val="Default"/>
              <w:rPr>
                <w:color w:val="auto"/>
              </w:rPr>
            </w:pPr>
            <w:r w:rsidRPr="4B84F83E">
              <w:rPr>
                <w:color w:val="auto"/>
                <w:sz w:val="20"/>
                <w:szCs w:val="20"/>
              </w:rPr>
              <w:t xml:space="preserve">Asda Pharmacy, Patchway </w:t>
            </w:r>
            <w:r w:rsidRPr="4B84F83E">
              <w:rPr>
                <w:color w:val="auto"/>
                <w:sz w:val="21"/>
                <w:szCs w:val="21"/>
              </w:rPr>
              <w:t>BS34 5TL</w:t>
            </w:r>
          </w:p>
        </w:tc>
      </w:tr>
      <w:tr w:rsidR="0051263C" w:rsidRPr="0051263C" w14:paraId="13551314" w14:textId="77777777" w:rsidTr="4B84F83E">
        <w:tc>
          <w:tcPr>
            <w:tcW w:w="9242" w:type="dxa"/>
          </w:tcPr>
          <w:p w14:paraId="4BE10A4D" w14:textId="5747B87F" w:rsidR="0051263C" w:rsidRPr="0051263C" w:rsidRDefault="4B84F83E" w:rsidP="4B84F83E">
            <w:pPr>
              <w:pStyle w:val="Default"/>
              <w:rPr>
                <w:rFonts w:cstheme="minorBidi"/>
                <w:color w:val="auto"/>
                <w:sz w:val="20"/>
                <w:szCs w:val="20"/>
              </w:rPr>
            </w:pPr>
            <w:r w:rsidRPr="4B84F83E">
              <w:rPr>
                <w:rFonts w:cstheme="minorBidi"/>
                <w:color w:val="auto"/>
                <w:sz w:val="20"/>
                <w:szCs w:val="20"/>
              </w:rPr>
              <w:t>Bedminster Pharmacy BS3 1BN</w:t>
            </w:r>
          </w:p>
        </w:tc>
      </w:tr>
      <w:tr w:rsidR="0051263C" w:rsidRPr="0051263C" w14:paraId="6DBFE3D5" w14:textId="77777777" w:rsidTr="4B84F83E">
        <w:tc>
          <w:tcPr>
            <w:tcW w:w="9242" w:type="dxa"/>
          </w:tcPr>
          <w:p w14:paraId="41C99758" w14:textId="1B2A1F03" w:rsidR="0051263C" w:rsidRPr="0051263C" w:rsidRDefault="4B84F83E" w:rsidP="4B84F83E">
            <w:pPr>
              <w:pStyle w:val="Default"/>
              <w:rPr>
                <w:color w:val="auto"/>
              </w:rPr>
            </w:pPr>
            <w:r w:rsidRPr="4B84F83E">
              <w:rPr>
                <w:rFonts w:cstheme="minorBidi"/>
                <w:color w:val="auto"/>
                <w:sz w:val="20"/>
                <w:szCs w:val="20"/>
              </w:rPr>
              <w:t xml:space="preserve">Boots Broadmead </w:t>
            </w:r>
            <w:r w:rsidRPr="4B84F83E">
              <w:rPr>
                <w:color w:val="auto"/>
                <w:sz w:val="21"/>
                <w:szCs w:val="21"/>
              </w:rPr>
              <w:t>BS1 3EA</w:t>
            </w:r>
          </w:p>
        </w:tc>
      </w:tr>
      <w:tr w:rsidR="0051263C" w:rsidRPr="0051263C" w14:paraId="5549A5E6" w14:textId="77777777" w:rsidTr="4B84F83E">
        <w:tc>
          <w:tcPr>
            <w:tcW w:w="9242" w:type="dxa"/>
          </w:tcPr>
          <w:p w14:paraId="75944C8D" w14:textId="0B8A76F9" w:rsidR="0051263C" w:rsidRPr="0051263C" w:rsidRDefault="4B84F83E" w:rsidP="4B84F83E">
            <w:pPr>
              <w:pStyle w:val="Default"/>
              <w:rPr>
                <w:rFonts w:cstheme="minorBidi"/>
                <w:color w:val="auto"/>
                <w:sz w:val="20"/>
                <w:szCs w:val="20"/>
              </w:rPr>
            </w:pPr>
            <w:r w:rsidRPr="4B84F83E">
              <w:rPr>
                <w:rFonts w:cstheme="minorBidi"/>
                <w:color w:val="auto"/>
                <w:sz w:val="20"/>
                <w:szCs w:val="20"/>
              </w:rPr>
              <w:t>Bradley Stoke Pharmacy BS32 9DS</w:t>
            </w:r>
          </w:p>
        </w:tc>
      </w:tr>
      <w:tr w:rsidR="0051263C" w:rsidRPr="0051263C" w14:paraId="708BBEA8" w14:textId="77777777" w:rsidTr="4B84F83E">
        <w:tc>
          <w:tcPr>
            <w:tcW w:w="9242" w:type="dxa"/>
          </w:tcPr>
          <w:p w14:paraId="056E38F5" w14:textId="0B99D9C8" w:rsidR="0051263C" w:rsidRPr="0051263C" w:rsidRDefault="4B84F83E" w:rsidP="4B84F83E">
            <w:pPr>
              <w:pStyle w:val="Default"/>
              <w:rPr>
                <w:color w:val="auto"/>
              </w:rPr>
            </w:pPr>
            <w:r w:rsidRPr="4B84F83E">
              <w:rPr>
                <w:color w:val="auto"/>
                <w:sz w:val="20"/>
                <w:szCs w:val="20"/>
              </w:rPr>
              <w:t xml:space="preserve">Chew Pharmacy </w:t>
            </w:r>
            <w:r w:rsidRPr="4B84F83E">
              <w:rPr>
                <w:color w:val="auto"/>
                <w:sz w:val="21"/>
                <w:szCs w:val="21"/>
              </w:rPr>
              <w:t>BS40 8SH</w:t>
            </w:r>
          </w:p>
        </w:tc>
      </w:tr>
      <w:tr w:rsidR="0051263C" w:rsidRPr="0051263C" w14:paraId="6AE2F619" w14:textId="77777777" w:rsidTr="4B84F83E">
        <w:tc>
          <w:tcPr>
            <w:tcW w:w="9242" w:type="dxa"/>
          </w:tcPr>
          <w:p w14:paraId="3C1E20F4" w14:textId="04A0E9C9" w:rsidR="0051263C" w:rsidRPr="0051263C" w:rsidRDefault="4B84F83E" w:rsidP="4B84F83E">
            <w:pPr>
              <w:pStyle w:val="Default"/>
              <w:rPr>
                <w:color w:val="auto"/>
              </w:rPr>
            </w:pPr>
            <w:r w:rsidRPr="4B84F83E">
              <w:rPr>
                <w:color w:val="auto"/>
                <w:sz w:val="20"/>
                <w:szCs w:val="20"/>
              </w:rPr>
              <w:t xml:space="preserve">Cohens (Long Ashton Pharmacy) </w:t>
            </w:r>
            <w:r w:rsidRPr="4B84F83E">
              <w:rPr>
                <w:color w:val="auto"/>
                <w:sz w:val="21"/>
                <w:szCs w:val="21"/>
              </w:rPr>
              <w:t>BS41 9AA</w:t>
            </w:r>
          </w:p>
        </w:tc>
      </w:tr>
      <w:tr w:rsidR="0051263C" w:rsidRPr="0051263C" w14:paraId="6EC91456" w14:textId="77777777" w:rsidTr="4B84F83E">
        <w:tc>
          <w:tcPr>
            <w:tcW w:w="9242" w:type="dxa"/>
          </w:tcPr>
          <w:p w14:paraId="20080589" w14:textId="2420FA71" w:rsidR="0051263C" w:rsidRPr="0051263C" w:rsidRDefault="4B84F83E" w:rsidP="4B84F83E">
            <w:pPr>
              <w:pStyle w:val="Default"/>
              <w:rPr>
                <w:color w:val="auto"/>
              </w:rPr>
            </w:pPr>
            <w:r w:rsidRPr="4B84F83E">
              <w:rPr>
                <w:color w:val="auto"/>
                <w:sz w:val="20"/>
                <w:szCs w:val="20"/>
              </w:rPr>
              <w:t xml:space="preserve">Cohens Pharmacy, Yatton </w:t>
            </w:r>
            <w:r w:rsidRPr="4B84F83E">
              <w:rPr>
                <w:color w:val="auto"/>
                <w:sz w:val="21"/>
                <w:szCs w:val="21"/>
              </w:rPr>
              <w:t>BS49 4ER</w:t>
            </w:r>
          </w:p>
        </w:tc>
      </w:tr>
      <w:tr w:rsidR="0051263C" w:rsidRPr="0051263C" w14:paraId="236F59AF" w14:textId="77777777" w:rsidTr="4B84F83E">
        <w:tc>
          <w:tcPr>
            <w:tcW w:w="9242" w:type="dxa"/>
          </w:tcPr>
          <w:p w14:paraId="331E1098" w14:textId="2BE50E56" w:rsidR="0051263C" w:rsidRPr="0051263C" w:rsidRDefault="4B84F83E" w:rsidP="4B84F83E">
            <w:pPr>
              <w:pStyle w:val="Default"/>
              <w:rPr>
                <w:color w:val="auto"/>
                <w:sz w:val="20"/>
                <w:szCs w:val="20"/>
              </w:rPr>
            </w:pPr>
            <w:r w:rsidRPr="4B84F83E">
              <w:rPr>
                <w:color w:val="auto"/>
                <w:sz w:val="20"/>
                <w:szCs w:val="20"/>
              </w:rPr>
              <w:t xml:space="preserve">Day Lewis Congresbury </w:t>
            </w:r>
            <w:r w:rsidRPr="4B84F83E">
              <w:rPr>
                <w:color w:val="auto"/>
                <w:sz w:val="21"/>
                <w:szCs w:val="21"/>
              </w:rPr>
              <w:t xml:space="preserve">BS49 5DG </w:t>
            </w:r>
            <w:r w:rsidRPr="4B84F83E">
              <w:rPr>
                <w:color w:val="auto"/>
              </w:rPr>
              <w:t xml:space="preserve"> </w:t>
            </w:r>
          </w:p>
        </w:tc>
      </w:tr>
      <w:tr w:rsidR="0051263C" w:rsidRPr="0051263C" w14:paraId="2E2C56C4" w14:textId="77777777" w:rsidTr="4B84F83E">
        <w:tc>
          <w:tcPr>
            <w:tcW w:w="9242" w:type="dxa"/>
          </w:tcPr>
          <w:p w14:paraId="01D0467A" w14:textId="3E90712A" w:rsidR="0051263C" w:rsidRPr="0051263C" w:rsidRDefault="4B84F83E" w:rsidP="4B84F83E">
            <w:pPr>
              <w:autoSpaceDE w:val="0"/>
              <w:autoSpaceDN w:val="0"/>
              <w:adjustRightInd w:val="0"/>
              <w:rPr>
                <w:rFonts w:ascii="Arial" w:eastAsia="Arial" w:hAnsi="Arial" w:cs="Arial"/>
                <w:sz w:val="20"/>
                <w:szCs w:val="20"/>
              </w:rPr>
            </w:pPr>
            <w:r w:rsidRPr="4B84F83E">
              <w:rPr>
                <w:rFonts w:ascii="Arial" w:hAnsi="Arial" w:cs="Arial"/>
                <w:sz w:val="20"/>
                <w:szCs w:val="20"/>
              </w:rPr>
              <w:t xml:space="preserve">Jays Pharmacy Waterloo Street Weston Super Mare </w:t>
            </w:r>
            <w:r w:rsidRPr="4B84F83E">
              <w:rPr>
                <w:rFonts w:ascii="Arial" w:eastAsia="Arial" w:hAnsi="Arial" w:cs="Arial"/>
                <w:sz w:val="21"/>
                <w:szCs w:val="21"/>
              </w:rPr>
              <w:t>BS23 1LA</w:t>
            </w:r>
          </w:p>
        </w:tc>
      </w:tr>
      <w:tr w:rsidR="0051263C" w:rsidRPr="0051263C" w14:paraId="622640D2" w14:textId="77777777" w:rsidTr="4B84F83E">
        <w:tc>
          <w:tcPr>
            <w:tcW w:w="9242" w:type="dxa"/>
          </w:tcPr>
          <w:p w14:paraId="760969A1" w14:textId="4521AB05" w:rsidR="0051263C" w:rsidRPr="0051263C" w:rsidRDefault="4B84F83E" w:rsidP="4B84F83E">
            <w:pPr>
              <w:pStyle w:val="Default"/>
              <w:rPr>
                <w:color w:val="auto"/>
                <w:sz w:val="20"/>
                <w:szCs w:val="20"/>
              </w:rPr>
            </w:pPr>
            <w:proofErr w:type="spellStart"/>
            <w:r w:rsidRPr="4B84F83E">
              <w:rPr>
                <w:color w:val="auto"/>
                <w:sz w:val="20"/>
                <w:szCs w:val="20"/>
              </w:rPr>
              <w:t>Jhoots</w:t>
            </w:r>
            <w:proofErr w:type="spellEnd"/>
            <w:r w:rsidRPr="4B84F83E">
              <w:rPr>
                <w:color w:val="auto"/>
                <w:sz w:val="20"/>
                <w:szCs w:val="20"/>
              </w:rPr>
              <w:t xml:space="preserve"> Patchway </w:t>
            </w:r>
            <w:r w:rsidRPr="4B84F83E">
              <w:rPr>
                <w:color w:val="auto"/>
                <w:sz w:val="21"/>
                <w:szCs w:val="21"/>
              </w:rPr>
              <w:t xml:space="preserve">BS34 5PG </w:t>
            </w:r>
            <w:r w:rsidRPr="4B84F83E">
              <w:rPr>
                <w:color w:val="auto"/>
              </w:rPr>
              <w:t xml:space="preserve"> </w:t>
            </w:r>
          </w:p>
        </w:tc>
      </w:tr>
      <w:tr w:rsidR="0051263C" w:rsidRPr="0051263C" w14:paraId="1B88CEB3" w14:textId="77777777" w:rsidTr="4B84F83E">
        <w:tc>
          <w:tcPr>
            <w:tcW w:w="9242" w:type="dxa"/>
          </w:tcPr>
          <w:p w14:paraId="70919187" w14:textId="41E8108C" w:rsidR="0051263C" w:rsidRPr="0051263C" w:rsidRDefault="4B84F83E" w:rsidP="4B84F83E">
            <w:pPr>
              <w:pStyle w:val="Default"/>
              <w:rPr>
                <w:color w:val="auto"/>
              </w:rPr>
            </w:pPr>
            <w:proofErr w:type="spellStart"/>
            <w:r w:rsidRPr="4B84F83E">
              <w:rPr>
                <w:color w:val="auto"/>
                <w:sz w:val="20"/>
                <w:szCs w:val="20"/>
              </w:rPr>
              <w:t>Jhoots</w:t>
            </w:r>
            <w:proofErr w:type="spellEnd"/>
            <w:r w:rsidRPr="4B84F83E">
              <w:rPr>
                <w:color w:val="auto"/>
                <w:sz w:val="20"/>
                <w:szCs w:val="20"/>
              </w:rPr>
              <w:t xml:space="preserve">, Stoke Gifford Medical Centre </w:t>
            </w:r>
            <w:r w:rsidRPr="4B84F83E">
              <w:rPr>
                <w:color w:val="auto"/>
                <w:sz w:val="21"/>
                <w:szCs w:val="21"/>
              </w:rPr>
              <w:t>BS34 7DA</w:t>
            </w:r>
          </w:p>
        </w:tc>
      </w:tr>
      <w:tr w:rsidR="0051263C" w:rsidRPr="0051263C" w14:paraId="26051C5E" w14:textId="77777777" w:rsidTr="4B84F83E">
        <w:tc>
          <w:tcPr>
            <w:tcW w:w="9242" w:type="dxa"/>
          </w:tcPr>
          <w:p w14:paraId="6A6E56CE" w14:textId="0E8433F6" w:rsidR="0051263C" w:rsidRPr="0051263C" w:rsidRDefault="4B84F83E" w:rsidP="4B84F83E">
            <w:pPr>
              <w:pStyle w:val="Default"/>
              <w:rPr>
                <w:color w:val="auto"/>
              </w:rPr>
            </w:pPr>
            <w:r w:rsidRPr="4B84F83E">
              <w:rPr>
                <w:color w:val="auto"/>
                <w:sz w:val="20"/>
                <w:szCs w:val="20"/>
              </w:rPr>
              <w:t xml:space="preserve">Lloyds Coniston Medical practice </w:t>
            </w:r>
            <w:r w:rsidRPr="4B84F83E">
              <w:rPr>
                <w:color w:val="auto"/>
                <w:sz w:val="21"/>
                <w:szCs w:val="21"/>
              </w:rPr>
              <w:t>BS34 5TF</w:t>
            </w:r>
          </w:p>
        </w:tc>
      </w:tr>
      <w:tr w:rsidR="0051263C" w:rsidRPr="0051263C" w14:paraId="724502B5" w14:textId="77777777" w:rsidTr="4B84F83E">
        <w:tc>
          <w:tcPr>
            <w:tcW w:w="9242" w:type="dxa"/>
          </w:tcPr>
          <w:p w14:paraId="2D1DFB78" w14:textId="3023FF41" w:rsidR="0051263C" w:rsidRPr="0051263C" w:rsidRDefault="4B84F83E" w:rsidP="4B84F83E">
            <w:pPr>
              <w:pStyle w:val="Default"/>
              <w:rPr>
                <w:color w:val="auto"/>
              </w:rPr>
            </w:pPr>
            <w:proofErr w:type="spellStart"/>
            <w:r w:rsidRPr="4B84F83E">
              <w:rPr>
                <w:rFonts w:cstheme="minorBidi"/>
                <w:color w:val="auto"/>
                <w:sz w:val="20"/>
                <w:szCs w:val="20"/>
              </w:rPr>
              <w:t>Jhoots</w:t>
            </w:r>
            <w:proofErr w:type="spellEnd"/>
            <w:r w:rsidRPr="4B84F83E">
              <w:rPr>
                <w:rFonts w:cstheme="minorBidi"/>
                <w:color w:val="auto"/>
                <w:sz w:val="20"/>
                <w:szCs w:val="20"/>
              </w:rPr>
              <w:t xml:space="preserve"> Montpelier </w:t>
            </w:r>
            <w:r w:rsidRPr="4B84F83E">
              <w:rPr>
                <w:color w:val="auto"/>
                <w:sz w:val="21"/>
                <w:szCs w:val="21"/>
              </w:rPr>
              <w:t>BS6 5PT</w:t>
            </w:r>
          </w:p>
        </w:tc>
      </w:tr>
      <w:tr w:rsidR="0051263C" w:rsidRPr="0051263C" w14:paraId="13C8779E" w14:textId="77777777" w:rsidTr="4B84F83E">
        <w:tc>
          <w:tcPr>
            <w:tcW w:w="9242" w:type="dxa"/>
          </w:tcPr>
          <w:p w14:paraId="5C85CAF8" w14:textId="606EC667" w:rsidR="0051263C" w:rsidRPr="0051263C" w:rsidRDefault="4B84F83E" w:rsidP="4B84F83E">
            <w:pPr>
              <w:pStyle w:val="Default"/>
              <w:rPr>
                <w:color w:val="auto"/>
                <w:sz w:val="20"/>
                <w:szCs w:val="20"/>
              </w:rPr>
            </w:pPr>
            <w:r w:rsidRPr="4B84F83E">
              <w:rPr>
                <w:color w:val="auto"/>
                <w:sz w:val="20"/>
                <w:szCs w:val="20"/>
              </w:rPr>
              <w:t xml:space="preserve">Lloyds Pharmacy Church Rd </w:t>
            </w:r>
            <w:r w:rsidRPr="4B84F83E">
              <w:rPr>
                <w:color w:val="auto"/>
                <w:sz w:val="21"/>
                <w:szCs w:val="21"/>
              </w:rPr>
              <w:t xml:space="preserve">BS13 8JZ </w:t>
            </w:r>
            <w:r w:rsidRPr="4B84F83E">
              <w:rPr>
                <w:color w:val="auto"/>
              </w:rPr>
              <w:t xml:space="preserve"> </w:t>
            </w:r>
          </w:p>
        </w:tc>
      </w:tr>
      <w:tr w:rsidR="0051263C" w:rsidRPr="0051263C" w14:paraId="32A8A6B9" w14:textId="77777777" w:rsidTr="4B84F83E">
        <w:tc>
          <w:tcPr>
            <w:tcW w:w="9242" w:type="dxa"/>
          </w:tcPr>
          <w:p w14:paraId="0CA1B4FB" w14:textId="31014A22" w:rsidR="0051263C" w:rsidRPr="0051263C" w:rsidRDefault="4B84F83E" w:rsidP="4B84F83E">
            <w:pPr>
              <w:autoSpaceDE w:val="0"/>
              <w:autoSpaceDN w:val="0"/>
              <w:adjustRightInd w:val="0"/>
              <w:rPr>
                <w:rFonts w:ascii="Arial" w:eastAsia="Arial" w:hAnsi="Arial" w:cs="Arial"/>
                <w:sz w:val="20"/>
                <w:szCs w:val="20"/>
              </w:rPr>
            </w:pPr>
            <w:proofErr w:type="gramStart"/>
            <w:r w:rsidRPr="4B84F83E">
              <w:rPr>
                <w:rFonts w:ascii="Arial" w:hAnsi="Arial" w:cs="Arial"/>
                <w:sz w:val="20"/>
                <w:szCs w:val="20"/>
              </w:rPr>
              <w:t>Lloyds</w:t>
            </w:r>
            <w:proofErr w:type="gramEnd"/>
            <w:r w:rsidRPr="4B84F83E">
              <w:rPr>
                <w:rFonts w:ascii="Arial" w:hAnsi="Arial" w:cs="Arial"/>
                <w:sz w:val="20"/>
                <w:szCs w:val="20"/>
              </w:rPr>
              <w:t xml:space="preserve"> pharmacy Whitecross Road Weston Super Mare </w:t>
            </w:r>
            <w:r w:rsidRPr="4B84F83E">
              <w:rPr>
                <w:rFonts w:ascii="Arial" w:eastAsia="Arial" w:hAnsi="Arial" w:cs="Arial"/>
                <w:sz w:val="21"/>
                <w:szCs w:val="21"/>
              </w:rPr>
              <w:t>BS23 1EN</w:t>
            </w:r>
          </w:p>
        </w:tc>
      </w:tr>
      <w:tr w:rsidR="0051263C" w:rsidRPr="0051263C" w14:paraId="21993AE7" w14:textId="77777777" w:rsidTr="4B84F83E">
        <w:tc>
          <w:tcPr>
            <w:tcW w:w="9242" w:type="dxa"/>
          </w:tcPr>
          <w:p w14:paraId="0B10E120" w14:textId="0540D352" w:rsidR="0051263C" w:rsidRPr="0051263C" w:rsidRDefault="4B84F83E" w:rsidP="4B84F83E">
            <w:pPr>
              <w:pStyle w:val="Default"/>
              <w:rPr>
                <w:color w:val="auto"/>
              </w:rPr>
            </w:pPr>
            <w:r w:rsidRPr="4B84F83E">
              <w:rPr>
                <w:color w:val="auto"/>
                <w:sz w:val="20"/>
                <w:szCs w:val="20"/>
              </w:rPr>
              <w:t xml:space="preserve">Lloyds Pharmacy Yatton </w:t>
            </w:r>
            <w:r w:rsidRPr="4B84F83E">
              <w:rPr>
                <w:color w:val="auto"/>
                <w:sz w:val="21"/>
                <w:szCs w:val="21"/>
              </w:rPr>
              <w:t>BS49 4EG</w:t>
            </w:r>
          </w:p>
        </w:tc>
      </w:tr>
      <w:tr w:rsidR="0051263C" w:rsidRPr="0051263C" w14:paraId="4D835109" w14:textId="77777777" w:rsidTr="4B84F83E">
        <w:tc>
          <w:tcPr>
            <w:tcW w:w="9242" w:type="dxa"/>
          </w:tcPr>
          <w:p w14:paraId="0E758531" w14:textId="5866B2DB" w:rsidR="0051263C" w:rsidRPr="0051263C" w:rsidRDefault="4B84F83E" w:rsidP="4B84F83E">
            <w:pPr>
              <w:pStyle w:val="Default"/>
              <w:rPr>
                <w:color w:val="auto"/>
              </w:rPr>
            </w:pPr>
            <w:r w:rsidRPr="4B84F83E">
              <w:rPr>
                <w:rFonts w:cstheme="minorBidi"/>
                <w:color w:val="auto"/>
                <w:sz w:val="20"/>
                <w:szCs w:val="20"/>
              </w:rPr>
              <w:t xml:space="preserve">Lloyds Regent Road, Bedminster </w:t>
            </w:r>
            <w:r w:rsidRPr="4B84F83E">
              <w:rPr>
                <w:color w:val="auto"/>
                <w:sz w:val="21"/>
                <w:szCs w:val="21"/>
              </w:rPr>
              <w:t>BS3 4AT</w:t>
            </w:r>
          </w:p>
        </w:tc>
      </w:tr>
      <w:tr w:rsidR="0051263C" w:rsidRPr="0051263C" w14:paraId="4BCF6005" w14:textId="77777777" w:rsidTr="4B84F83E">
        <w:tc>
          <w:tcPr>
            <w:tcW w:w="9242" w:type="dxa"/>
          </w:tcPr>
          <w:p w14:paraId="41C8B4DD" w14:textId="2ED80B28" w:rsidR="0051263C" w:rsidRPr="0051263C" w:rsidRDefault="4B84F83E" w:rsidP="4B84F83E">
            <w:pPr>
              <w:pStyle w:val="Default"/>
              <w:rPr>
                <w:color w:val="auto"/>
              </w:rPr>
            </w:pPr>
            <w:r w:rsidRPr="4B84F83E">
              <w:rPr>
                <w:rFonts w:cstheme="minorBidi"/>
                <w:color w:val="auto"/>
                <w:sz w:val="20"/>
                <w:szCs w:val="20"/>
              </w:rPr>
              <w:t xml:space="preserve">Superdrug Broadmead </w:t>
            </w:r>
            <w:r w:rsidRPr="4B84F83E">
              <w:rPr>
                <w:color w:val="auto"/>
                <w:sz w:val="21"/>
                <w:szCs w:val="21"/>
              </w:rPr>
              <w:t>BS1 3EU</w:t>
            </w:r>
          </w:p>
        </w:tc>
      </w:tr>
      <w:tr w:rsidR="0051263C" w:rsidRPr="0051263C" w14:paraId="34D50450" w14:textId="77777777" w:rsidTr="4B84F83E">
        <w:tc>
          <w:tcPr>
            <w:tcW w:w="9242" w:type="dxa"/>
          </w:tcPr>
          <w:p w14:paraId="6DA38292" w14:textId="034DEB62" w:rsidR="0051263C" w:rsidRPr="0051263C" w:rsidRDefault="4B84F83E" w:rsidP="4B84F83E">
            <w:pPr>
              <w:autoSpaceDE w:val="0"/>
              <w:autoSpaceDN w:val="0"/>
              <w:adjustRightInd w:val="0"/>
              <w:rPr>
                <w:rFonts w:ascii="Arial" w:hAnsi="Arial" w:cs="Arial"/>
                <w:sz w:val="20"/>
                <w:szCs w:val="20"/>
              </w:rPr>
            </w:pPr>
            <w:r w:rsidRPr="4B84F83E">
              <w:rPr>
                <w:rFonts w:ascii="Arial" w:hAnsi="Arial" w:cs="Arial"/>
                <w:sz w:val="20"/>
                <w:szCs w:val="20"/>
              </w:rPr>
              <w:t>Tesco Pharmacy Weston Super Mare BS23 1XG</w:t>
            </w:r>
          </w:p>
        </w:tc>
      </w:tr>
      <w:tr w:rsidR="0051263C" w:rsidRPr="0051263C" w14:paraId="5F5E03E1" w14:textId="77777777" w:rsidTr="4B84F83E">
        <w:tc>
          <w:tcPr>
            <w:tcW w:w="9242" w:type="dxa"/>
          </w:tcPr>
          <w:p w14:paraId="6B1352D7" w14:textId="47F51C1A" w:rsidR="0051263C" w:rsidRPr="0051263C" w:rsidRDefault="4B84F83E" w:rsidP="4B84F83E">
            <w:pPr>
              <w:pStyle w:val="Default"/>
              <w:rPr>
                <w:color w:val="auto"/>
              </w:rPr>
            </w:pPr>
            <w:r w:rsidRPr="4B84F83E">
              <w:rPr>
                <w:rFonts w:cstheme="minorBidi"/>
                <w:color w:val="auto"/>
                <w:sz w:val="20"/>
                <w:szCs w:val="20"/>
              </w:rPr>
              <w:t xml:space="preserve">Tesco Pharmacy, Bradley Stoke </w:t>
            </w:r>
            <w:r w:rsidRPr="4B84F83E">
              <w:rPr>
                <w:color w:val="auto"/>
                <w:sz w:val="21"/>
                <w:szCs w:val="21"/>
              </w:rPr>
              <w:t>BS32 8EF</w:t>
            </w:r>
          </w:p>
        </w:tc>
      </w:tr>
      <w:tr w:rsidR="0051263C" w:rsidRPr="0051263C" w14:paraId="6E105F9A" w14:textId="77777777" w:rsidTr="4B84F83E">
        <w:tc>
          <w:tcPr>
            <w:tcW w:w="9242" w:type="dxa"/>
          </w:tcPr>
          <w:p w14:paraId="34C7BFA8" w14:textId="1D8D1924" w:rsidR="0051263C" w:rsidRPr="0051263C" w:rsidRDefault="4B84F83E" w:rsidP="4B84F83E">
            <w:pPr>
              <w:pStyle w:val="Default"/>
              <w:rPr>
                <w:color w:val="auto"/>
              </w:rPr>
            </w:pPr>
            <w:r w:rsidRPr="4B84F83E">
              <w:rPr>
                <w:color w:val="auto"/>
                <w:sz w:val="20"/>
                <w:szCs w:val="20"/>
              </w:rPr>
              <w:t xml:space="preserve">Wrington Pharmacy </w:t>
            </w:r>
            <w:r w:rsidRPr="4B84F83E">
              <w:rPr>
                <w:color w:val="auto"/>
                <w:sz w:val="21"/>
                <w:szCs w:val="21"/>
              </w:rPr>
              <w:t>BS40 5QE</w:t>
            </w:r>
          </w:p>
        </w:tc>
      </w:tr>
    </w:tbl>
    <w:p w14:paraId="2551AF87" w14:textId="49C787D0" w:rsidR="0075793C" w:rsidRDefault="0075793C" w:rsidP="0075793C">
      <w:pPr>
        <w:rPr>
          <w:sz w:val="20"/>
          <w:szCs w:val="20"/>
        </w:rPr>
      </w:pPr>
    </w:p>
    <w:p w14:paraId="06B21221" w14:textId="786E2E1D" w:rsidR="0075793C" w:rsidRDefault="0075793C">
      <w:pPr>
        <w:rPr>
          <w:sz w:val="20"/>
          <w:szCs w:val="20"/>
        </w:rPr>
      </w:pPr>
      <w:r>
        <w:rPr>
          <w:sz w:val="20"/>
          <w:szCs w:val="20"/>
        </w:rPr>
        <w:br w:type="page"/>
      </w:r>
    </w:p>
    <w:tbl>
      <w:tblPr>
        <w:tblpPr w:leftFromText="180" w:rightFromText="180" w:horzAnchor="margin" w:tblpY="495"/>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7"/>
        <w:gridCol w:w="4917"/>
      </w:tblGrid>
      <w:tr w:rsidR="0075793C" w14:paraId="151FDCD8" w14:textId="77777777" w:rsidTr="0051263C">
        <w:trPr>
          <w:trHeight w:val="103"/>
        </w:trPr>
        <w:tc>
          <w:tcPr>
            <w:tcW w:w="4917" w:type="dxa"/>
          </w:tcPr>
          <w:p w14:paraId="0502C93A" w14:textId="5CAAFA3D" w:rsidR="0075793C" w:rsidRDefault="0075793C" w:rsidP="0075793C">
            <w:pPr>
              <w:pStyle w:val="Default"/>
              <w:rPr>
                <w:sz w:val="20"/>
                <w:szCs w:val="20"/>
              </w:rPr>
            </w:pPr>
            <w:r>
              <w:rPr>
                <w:b/>
                <w:bCs/>
                <w:sz w:val="20"/>
                <w:szCs w:val="20"/>
              </w:rPr>
              <w:lastRenderedPageBreak/>
              <w:t xml:space="preserve">Medicines </w:t>
            </w:r>
          </w:p>
        </w:tc>
        <w:tc>
          <w:tcPr>
            <w:tcW w:w="4917" w:type="dxa"/>
          </w:tcPr>
          <w:p w14:paraId="56EE7589" w14:textId="77777777" w:rsidR="0075793C" w:rsidRDefault="0075793C" w:rsidP="0075793C">
            <w:pPr>
              <w:pStyle w:val="Default"/>
              <w:rPr>
                <w:sz w:val="20"/>
                <w:szCs w:val="20"/>
              </w:rPr>
            </w:pPr>
            <w:r>
              <w:rPr>
                <w:b/>
                <w:bCs/>
                <w:sz w:val="20"/>
                <w:szCs w:val="20"/>
              </w:rPr>
              <w:t xml:space="preserve">Indication </w:t>
            </w:r>
          </w:p>
        </w:tc>
      </w:tr>
      <w:tr w:rsidR="0075793C" w14:paraId="76A863A5" w14:textId="77777777" w:rsidTr="0051263C">
        <w:trPr>
          <w:trHeight w:val="598"/>
        </w:trPr>
        <w:tc>
          <w:tcPr>
            <w:tcW w:w="4917" w:type="dxa"/>
          </w:tcPr>
          <w:p w14:paraId="0267F64E" w14:textId="77777777" w:rsidR="0075793C" w:rsidRDefault="0075793C" w:rsidP="0075793C">
            <w:pPr>
              <w:pStyle w:val="Default"/>
              <w:rPr>
                <w:sz w:val="20"/>
                <w:szCs w:val="20"/>
              </w:rPr>
            </w:pPr>
            <w:r>
              <w:rPr>
                <w:sz w:val="20"/>
                <w:szCs w:val="20"/>
              </w:rPr>
              <w:t xml:space="preserve">Paracetamol 500mg tablets/caplets (pack size 32) / soluble tablets (pack size 24) </w:t>
            </w:r>
          </w:p>
        </w:tc>
        <w:tc>
          <w:tcPr>
            <w:tcW w:w="4917" w:type="dxa"/>
          </w:tcPr>
          <w:p w14:paraId="6960CBC6" w14:textId="77777777" w:rsidR="0075793C" w:rsidRDefault="0075793C" w:rsidP="0075793C">
            <w:pPr>
              <w:pStyle w:val="Default"/>
              <w:rPr>
                <w:sz w:val="20"/>
                <w:szCs w:val="20"/>
              </w:rPr>
            </w:pPr>
            <w:r>
              <w:rPr>
                <w:sz w:val="20"/>
                <w:szCs w:val="20"/>
              </w:rPr>
              <w:t xml:space="preserve">Headache, mild pain, cold symptoms, general muscle aches and pains, temperature </w:t>
            </w:r>
          </w:p>
          <w:p w14:paraId="41766909" w14:textId="77777777" w:rsidR="0075793C" w:rsidRDefault="0075793C" w:rsidP="0075793C">
            <w:pPr>
              <w:pStyle w:val="Default"/>
              <w:rPr>
                <w:sz w:val="20"/>
                <w:szCs w:val="20"/>
              </w:rPr>
            </w:pPr>
            <w:r>
              <w:rPr>
                <w:sz w:val="20"/>
                <w:szCs w:val="20"/>
              </w:rPr>
              <w:t xml:space="preserve">Soluble tablets only if unable to swallow tablet/caplet formulation </w:t>
            </w:r>
          </w:p>
        </w:tc>
      </w:tr>
      <w:tr w:rsidR="0075793C" w14:paraId="2FE4F2D2" w14:textId="77777777" w:rsidTr="0051263C">
        <w:trPr>
          <w:trHeight w:val="598"/>
        </w:trPr>
        <w:tc>
          <w:tcPr>
            <w:tcW w:w="4917" w:type="dxa"/>
          </w:tcPr>
          <w:p w14:paraId="1C3F57C6" w14:textId="77777777" w:rsidR="0075793C" w:rsidRDefault="0075793C" w:rsidP="0075793C">
            <w:pPr>
              <w:pStyle w:val="Default"/>
              <w:rPr>
                <w:sz w:val="20"/>
                <w:szCs w:val="20"/>
              </w:rPr>
            </w:pPr>
            <w:r>
              <w:rPr>
                <w:sz w:val="20"/>
                <w:szCs w:val="20"/>
              </w:rPr>
              <w:t xml:space="preserve">Paracetamol oral liquid 120mg/5ml (pack size 100ml) </w:t>
            </w:r>
          </w:p>
        </w:tc>
        <w:tc>
          <w:tcPr>
            <w:tcW w:w="4917" w:type="dxa"/>
          </w:tcPr>
          <w:p w14:paraId="4517068B" w14:textId="77777777" w:rsidR="0075793C" w:rsidRDefault="0075793C" w:rsidP="0075793C">
            <w:pPr>
              <w:pStyle w:val="Default"/>
              <w:rPr>
                <w:sz w:val="20"/>
                <w:szCs w:val="20"/>
              </w:rPr>
            </w:pPr>
            <w:r>
              <w:rPr>
                <w:sz w:val="20"/>
                <w:szCs w:val="20"/>
              </w:rPr>
              <w:t xml:space="preserve">Headache, mild pain, cold symptoms, general muscle aches and pains, temperature </w:t>
            </w:r>
          </w:p>
          <w:p w14:paraId="1F62E481" w14:textId="77777777" w:rsidR="0075793C" w:rsidRDefault="0075793C" w:rsidP="0075793C">
            <w:pPr>
              <w:pStyle w:val="Default"/>
              <w:rPr>
                <w:sz w:val="20"/>
                <w:szCs w:val="20"/>
              </w:rPr>
            </w:pPr>
            <w:r>
              <w:rPr>
                <w:sz w:val="20"/>
                <w:szCs w:val="20"/>
              </w:rPr>
              <w:t xml:space="preserve">For children only if unable to swallow tablet formulation. </w:t>
            </w:r>
          </w:p>
        </w:tc>
      </w:tr>
      <w:tr w:rsidR="0075793C" w14:paraId="71B2754B" w14:textId="77777777" w:rsidTr="0051263C">
        <w:trPr>
          <w:trHeight w:val="598"/>
        </w:trPr>
        <w:tc>
          <w:tcPr>
            <w:tcW w:w="4917" w:type="dxa"/>
          </w:tcPr>
          <w:p w14:paraId="7D44207A" w14:textId="77777777" w:rsidR="0075793C" w:rsidRDefault="0075793C" w:rsidP="0075793C">
            <w:pPr>
              <w:pStyle w:val="Default"/>
              <w:rPr>
                <w:sz w:val="20"/>
                <w:szCs w:val="20"/>
              </w:rPr>
            </w:pPr>
            <w:r>
              <w:rPr>
                <w:sz w:val="20"/>
                <w:szCs w:val="20"/>
              </w:rPr>
              <w:t xml:space="preserve">Paracetamol oral liquid 250mg/5ml (pack size 80ml) </w:t>
            </w:r>
          </w:p>
        </w:tc>
        <w:tc>
          <w:tcPr>
            <w:tcW w:w="4917" w:type="dxa"/>
          </w:tcPr>
          <w:p w14:paraId="399EDF62" w14:textId="77777777" w:rsidR="0075793C" w:rsidRDefault="0075793C" w:rsidP="0075793C">
            <w:pPr>
              <w:pStyle w:val="Default"/>
              <w:rPr>
                <w:sz w:val="20"/>
                <w:szCs w:val="20"/>
              </w:rPr>
            </w:pPr>
            <w:r>
              <w:rPr>
                <w:sz w:val="20"/>
                <w:szCs w:val="20"/>
              </w:rPr>
              <w:t xml:space="preserve">Headache, mild pain, cold symptoms, general muscle aches and pains, temperature </w:t>
            </w:r>
          </w:p>
          <w:p w14:paraId="1EEC7E35" w14:textId="77777777" w:rsidR="0075793C" w:rsidRDefault="0075793C" w:rsidP="0075793C">
            <w:pPr>
              <w:pStyle w:val="Default"/>
              <w:rPr>
                <w:sz w:val="20"/>
                <w:szCs w:val="20"/>
              </w:rPr>
            </w:pPr>
            <w:r>
              <w:rPr>
                <w:sz w:val="20"/>
                <w:szCs w:val="20"/>
              </w:rPr>
              <w:t xml:space="preserve">For children only if unable to swallow tablet formulation. </w:t>
            </w:r>
          </w:p>
        </w:tc>
      </w:tr>
      <w:tr w:rsidR="0075793C" w14:paraId="7F3775B6" w14:textId="77777777" w:rsidTr="0051263C">
        <w:trPr>
          <w:trHeight w:val="598"/>
        </w:trPr>
        <w:tc>
          <w:tcPr>
            <w:tcW w:w="4917" w:type="dxa"/>
          </w:tcPr>
          <w:p w14:paraId="664AA75E" w14:textId="77777777" w:rsidR="0075793C" w:rsidRDefault="0075793C" w:rsidP="0075793C">
            <w:pPr>
              <w:pStyle w:val="Default"/>
              <w:rPr>
                <w:sz w:val="20"/>
                <w:szCs w:val="20"/>
              </w:rPr>
            </w:pPr>
            <w:r>
              <w:rPr>
                <w:sz w:val="20"/>
                <w:szCs w:val="20"/>
              </w:rPr>
              <w:t xml:space="preserve">Ibuprofen tablets 200mg (pack size 24) /400mg (pack size 24) </w:t>
            </w:r>
          </w:p>
        </w:tc>
        <w:tc>
          <w:tcPr>
            <w:tcW w:w="4917" w:type="dxa"/>
          </w:tcPr>
          <w:p w14:paraId="5903BB5B" w14:textId="77777777" w:rsidR="0075793C" w:rsidRDefault="0075793C" w:rsidP="0075793C">
            <w:pPr>
              <w:pStyle w:val="Default"/>
              <w:rPr>
                <w:sz w:val="20"/>
                <w:szCs w:val="20"/>
              </w:rPr>
            </w:pPr>
            <w:r>
              <w:rPr>
                <w:sz w:val="20"/>
                <w:szCs w:val="20"/>
              </w:rPr>
              <w:t xml:space="preserve">Pain and inflammation </w:t>
            </w:r>
          </w:p>
        </w:tc>
      </w:tr>
      <w:tr w:rsidR="0075793C" w14:paraId="1B518EB4" w14:textId="77777777" w:rsidTr="0051263C">
        <w:trPr>
          <w:trHeight w:val="598"/>
        </w:trPr>
        <w:tc>
          <w:tcPr>
            <w:tcW w:w="4917" w:type="dxa"/>
          </w:tcPr>
          <w:p w14:paraId="0DABB74A" w14:textId="77777777" w:rsidR="0075793C" w:rsidRDefault="0075793C" w:rsidP="0075793C">
            <w:pPr>
              <w:pStyle w:val="Default"/>
              <w:rPr>
                <w:sz w:val="20"/>
                <w:szCs w:val="20"/>
              </w:rPr>
            </w:pPr>
            <w:r>
              <w:rPr>
                <w:sz w:val="20"/>
                <w:szCs w:val="20"/>
              </w:rPr>
              <w:t xml:space="preserve">Ibuprofen liquid 100mg/5ml (pack size 100ml) </w:t>
            </w:r>
          </w:p>
        </w:tc>
        <w:tc>
          <w:tcPr>
            <w:tcW w:w="4917" w:type="dxa"/>
          </w:tcPr>
          <w:p w14:paraId="0FA34237" w14:textId="77777777" w:rsidR="0075793C" w:rsidRDefault="0075793C" w:rsidP="0075793C">
            <w:pPr>
              <w:pStyle w:val="Default"/>
              <w:rPr>
                <w:sz w:val="20"/>
                <w:szCs w:val="20"/>
              </w:rPr>
            </w:pPr>
            <w:r>
              <w:rPr>
                <w:sz w:val="20"/>
                <w:szCs w:val="20"/>
              </w:rPr>
              <w:t xml:space="preserve">Pain and inflammation </w:t>
            </w:r>
          </w:p>
          <w:p w14:paraId="052FF188" w14:textId="77777777" w:rsidR="0075793C" w:rsidRDefault="0075793C" w:rsidP="0075793C">
            <w:pPr>
              <w:pStyle w:val="Default"/>
              <w:rPr>
                <w:sz w:val="20"/>
                <w:szCs w:val="20"/>
              </w:rPr>
            </w:pPr>
            <w:r>
              <w:rPr>
                <w:sz w:val="20"/>
                <w:szCs w:val="20"/>
              </w:rPr>
              <w:t xml:space="preserve">For children only if unable to swallow tablet formulation </w:t>
            </w:r>
          </w:p>
        </w:tc>
      </w:tr>
      <w:tr w:rsidR="0075793C" w14:paraId="5E33C11B" w14:textId="77777777" w:rsidTr="0051263C">
        <w:trPr>
          <w:trHeight w:val="598"/>
        </w:trPr>
        <w:tc>
          <w:tcPr>
            <w:tcW w:w="4917" w:type="dxa"/>
          </w:tcPr>
          <w:p w14:paraId="22DC4DE2" w14:textId="77777777" w:rsidR="0075793C" w:rsidRDefault="0075793C" w:rsidP="0075793C">
            <w:pPr>
              <w:pStyle w:val="Default"/>
              <w:rPr>
                <w:sz w:val="20"/>
                <w:szCs w:val="20"/>
              </w:rPr>
            </w:pPr>
            <w:r>
              <w:rPr>
                <w:sz w:val="20"/>
                <w:szCs w:val="20"/>
              </w:rPr>
              <w:t xml:space="preserve">Oral rehydration sachets (pack size 6 sachets blackcurrant flavour) </w:t>
            </w:r>
          </w:p>
        </w:tc>
        <w:tc>
          <w:tcPr>
            <w:tcW w:w="4917" w:type="dxa"/>
          </w:tcPr>
          <w:p w14:paraId="78A49D4E" w14:textId="77777777" w:rsidR="0075793C" w:rsidRDefault="0075793C" w:rsidP="0075793C">
            <w:pPr>
              <w:pStyle w:val="Default"/>
              <w:rPr>
                <w:sz w:val="20"/>
                <w:szCs w:val="20"/>
              </w:rPr>
            </w:pPr>
            <w:r>
              <w:rPr>
                <w:sz w:val="20"/>
                <w:szCs w:val="20"/>
              </w:rPr>
              <w:t xml:space="preserve">Diarrhoea </w:t>
            </w:r>
          </w:p>
        </w:tc>
      </w:tr>
      <w:tr w:rsidR="0075793C" w14:paraId="47FD4FC7" w14:textId="77777777" w:rsidTr="0051263C">
        <w:trPr>
          <w:trHeight w:val="598"/>
        </w:trPr>
        <w:tc>
          <w:tcPr>
            <w:tcW w:w="4917" w:type="dxa"/>
          </w:tcPr>
          <w:p w14:paraId="028407BF" w14:textId="77777777" w:rsidR="0075793C" w:rsidRDefault="0075793C" w:rsidP="0075793C">
            <w:pPr>
              <w:pStyle w:val="Default"/>
              <w:rPr>
                <w:sz w:val="20"/>
                <w:szCs w:val="20"/>
              </w:rPr>
            </w:pPr>
            <w:r>
              <w:rPr>
                <w:sz w:val="20"/>
                <w:szCs w:val="20"/>
              </w:rPr>
              <w:t xml:space="preserve">Senna 7.5mg tablets (pack size 20) </w:t>
            </w:r>
          </w:p>
        </w:tc>
        <w:tc>
          <w:tcPr>
            <w:tcW w:w="4917" w:type="dxa"/>
          </w:tcPr>
          <w:p w14:paraId="1E29E32F" w14:textId="77777777" w:rsidR="0075793C" w:rsidRDefault="0075793C" w:rsidP="0075793C">
            <w:pPr>
              <w:pStyle w:val="Default"/>
              <w:rPr>
                <w:sz w:val="20"/>
                <w:szCs w:val="20"/>
              </w:rPr>
            </w:pPr>
            <w:r>
              <w:rPr>
                <w:sz w:val="20"/>
                <w:szCs w:val="20"/>
              </w:rPr>
              <w:t xml:space="preserve">Constipation in adults only </w:t>
            </w:r>
          </w:p>
        </w:tc>
      </w:tr>
      <w:tr w:rsidR="0075793C" w14:paraId="7B236335" w14:textId="77777777" w:rsidTr="0051263C">
        <w:trPr>
          <w:trHeight w:val="598"/>
        </w:trPr>
        <w:tc>
          <w:tcPr>
            <w:tcW w:w="4917" w:type="dxa"/>
          </w:tcPr>
          <w:p w14:paraId="5BEA5DA2" w14:textId="77777777" w:rsidR="0075793C" w:rsidRDefault="0075793C" w:rsidP="0075793C">
            <w:pPr>
              <w:pStyle w:val="Default"/>
              <w:rPr>
                <w:sz w:val="20"/>
                <w:szCs w:val="20"/>
              </w:rPr>
            </w:pPr>
            <w:r>
              <w:rPr>
                <w:sz w:val="20"/>
                <w:szCs w:val="20"/>
              </w:rPr>
              <w:t xml:space="preserve">Senna liquid (Senokot) 7.5mg/5ml liquid (pack size 150ml) </w:t>
            </w:r>
          </w:p>
        </w:tc>
        <w:tc>
          <w:tcPr>
            <w:tcW w:w="4917" w:type="dxa"/>
          </w:tcPr>
          <w:p w14:paraId="4916EF9C" w14:textId="77777777" w:rsidR="0075793C" w:rsidRDefault="0075793C" w:rsidP="0075793C">
            <w:pPr>
              <w:pStyle w:val="Default"/>
              <w:rPr>
                <w:sz w:val="20"/>
                <w:szCs w:val="20"/>
              </w:rPr>
            </w:pPr>
            <w:r>
              <w:rPr>
                <w:sz w:val="20"/>
                <w:szCs w:val="20"/>
              </w:rPr>
              <w:t xml:space="preserve">Constipation in adults only </w:t>
            </w:r>
          </w:p>
          <w:p w14:paraId="0FF312C2" w14:textId="77777777" w:rsidR="0075793C" w:rsidRDefault="0075793C" w:rsidP="0075793C">
            <w:pPr>
              <w:pStyle w:val="Default"/>
              <w:rPr>
                <w:sz w:val="20"/>
                <w:szCs w:val="20"/>
              </w:rPr>
            </w:pPr>
            <w:r>
              <w:rPr>
                <w:sz w:val="20"/>
                <w:szCs w:val="20"/>
              </w:rPr>
              <w:t xml:space="preserve">If unable to swallow tablet formulation </w:t>
            </w:r>
          </w:p>
        </w:tc>
      </w:tr>
      <w:tr w:rsidR="0075793C" w14:paraId="7A0FCF58" w14:textId="77777777" w:rsidTr="0051263C">
        <w:trPr>
          <w:trHeight w:val="598"/>
        </w:trPr>
        <w:tc>
          <w:tcPr>
            <w:tcW w:w="4917" w:type="dxa"/>
          </w:tcPr>
          <w:p w14:paraId="17A1D414" w14:textId="77777777" w:rsidR="0075793C" w:rsidRDefault="0075793C" w:rsidP="0075793C">
            <w:pPr>
              <w:pStyle w:val="Default"/>
              <w:rPr>
                <w:sz w:val="20"/>
                <w:szCs w:val="20"/>
              </w:rPr>
            </w:pPr>
            <w:r>
              <w:rPr>
                <w:sz w:val="20"/>
                <w:szCs w:val="20"/>
              </w:rPr>
              <w:t xml:space="preserve">Chlorphenamine 4mg tablets (pack size 28) </w:t>
            </w:r>
          </w:p>
        </w:tc>
        <w:tc>
          <w:tcPr>
            <w:tcW w:w="4917" w:type="dxa"/>
          </w:tcPr>
          <w:p w14:paraId="3651C56E" w14:textId="77777777" w:rsidR="0075793C" w:rsidRDefault="0075793C" w:rsidP="0075793C">
            <w:pPr>
              <w:pStyle w:val="Default"/>
              <w:rPr>
                <w:sz w:val="20"/>
                <w:szCs w:val="20"/>
              </w:rPr>
            </w:pPr>
            <w:r>
              <w:rPr>
                <w:sz w:val="20"/>
                <w:szCs w:val="20"/>
              </w:rPr>
              <w:t xml:space="preserve">Symptoms of allergic reaction, hay fever, itching </w:t>
            </w:r>
          </w:p>
        </w:tc>
      </w:tr>
      <w:tr w:rsidR="0075793C" w14:paraId="0E29B6D5" w14:textId="77777777" w:rsidTr="0051263C">
        <w:trPr>
          <w:trHeight w:val="598"/>
        </w:trPr>
        <w:tc>
          <w:tcPr>
            <w:tcW w:w="4917" w:type="dxa"/>
          </w:tcPr>
          <w:p w14:paraId="1DED8640" w14:textId="77777777" w:rsidR="0075793C" w:rsidRDefault="0075793C" w:rsidP="0075793C">
            <w:pPr>
              <w:pStyle w:val="Default"/>
              <w:rPr>
                <w:sz w:val="20"/>
                <w:szCs w:val="20"/>
              </w:rPr>
            </w:pPr>
            <w:r>
              <w:rPr>
                <w:sz w:val="20"/>
                <w:szCs w:val="20"/>
              </w:rPr>
              <w:t xml:space="preserve">Chlorphenamine 2mg/5mL oral solution (150mL) </w:t>
            </w:r>
          </w:p>
        </w:tc>
        <w:tc>
          <w:tcPr>
            <w:tcW w:w="4917" w:type="dxa"/>
          </w:tcPr>
          <w:p w14:paraId="3C4407DD" w14:textId="77777777" w:rsidR="0075793C" w:rsidRDefault="0075793C" w:rsidP="0075793C">
            <w:pPr>
              <w:pStyle w:val="Default"/>
              <w:rPr>
                <w:sz w:val="20"/>
                <w:szCs w:val="20"/>
              </w:rPr>
            </w:pPr>
            <w:r>
              <w:rPr>
                <w:sz w:val="20"/>
                <w:szCs w:val="20"/>
              </w:rPr>
              <w:t xml:space="preserve">Symptoms of allergic reaction, hay fever, itching </w:t>
            </w:r>
          </w:p>
          <w:p w14:paraId="18EE6F1F" w14:textId="77777777" w:rsidR="0075793C" w:rsidRDefault="0075793C" w:rsidP="0075793C">
            <w:pPr>
              <w:pStyle w:val="Default"/>
              <w:rPr>
                <w:sz w:val="20"/>
                <w:szCs w:val="20"/>
              </w:rPr>
            </w:pPr>
            <w:r>
              <w:rPr>
                <w:sz w:val="20"/>
                <w:szCs w:val="20"/>
              </w:rPr>
              <w:t xml:space="preserve">For children only if unable to swallow tablet formulation </w:t>
            </w:r>
          </w:p>
        </w:tc>
      </w:tr>
      <w:tr w:rsidR="0075793C" w14:paraId="7C0E9C5F" w14:textId="77777777" w:rsidTr="0051263C">
        <w:trPr>
          <w:trHeight w:val="598"/>
        </w:trPr>
        <w:tc>
          <w:tcPr>
            <w:tcW w:w="4917" w:type="dxa"/>
          </w:tcPr>
          <w:p w14:paraId="7157B030" w14:textId="77777777" w:rsidR="0075793C" w:rsidRDefault="0075793C" w:rsidP="0075793C">
            <w:pPr>
              <w:pStyle w:val="Default"/>
              <w:rPr>
                <w:sz w:val="20"/>
                <w:szCs w:val="20"/>
              </w:rPr>
            </w:pPr>
            <w:r>
              <w:rPr>
                <w:sz w:val="20"/>
                <w:szCs w:val="20"/>
              </w:rPr>
              <w:t xml:space="preserve">Loratadine 10mg tablets (pack size 30) </w:t>
            </w:r>
          </w:p>
        </w:tc>
        <w:tc>
          <w:tcPr>
            <w:tcW w:w="4917" w:type="dxa"/>
          </w:tcPr>
          <w:p w14:paraId="4C0F2516" w14:textId="77777777" w:rsidR="0075793C" w:rsidRDefault="0075793C" w:rsidP="0075793C">
            <w:pPr>
              <w:pStyle w:val="Default"/>
              <w:rPr>
                <w:sz w:val="20"/>
                <w:szCs w:val="20"/>
              </w:rPr>
            </w:pPr>
            <w:r>
              <w:rPr>
                <w:sz w:val="20"/>
                <w:szCs w:val="20"/>
              </w:rPr>
              <w:t xml:space="preserve">Symptoms of allergic reaction, hay fever, itching </w:t>
            </w:r>
          </w:p>
        </w:tc>
      </w:tr>
      <w:tr w:rsidR="0075793C" w14:paraId="6E8B66E5" w14:textId="77777777" w:rsidTr="0051263C">
        <w:trPr>
          <w:trHeight w:val="598"/>
        </w:trPr>
        <w:tc>
          <w:tcPr>
            <w:tcW w:w="4917" w:type="dxa"/>
          </w:tcPr>
          <w:p w14:paraId="5791F17B" w14:textId="77777777" w:rsidR="0075793C" w:rsidRDefault="0075793C" w:rsidP="0075793C">
            <w:pPr>
              <w:pStyle w:val="Default"/>
              <w:rPr>
                <w:sz w:val="20"/>
                <w:szCs w:val="20"/>
              </w:rPr>
            </w:pPr>
            <w:r>
              <w:rPr>
                <w:sz w:val="20"/>
                <w:szCs w:val="20"/>
              </w:rPr>
              <w:t xml:space="preserve">Loratadine 5mg/5ml oral solution (100ml) </w:t>
            </w:r>
          </w:p>
        </w:tc>
        <w:tc>
          <w:tcPr>
            <w:tcW w:w="4917" w:type="dxa"/>
          </w:tcPr>
          <w:p w14:paraId="14E9D706" w14:textId="77777777" w:rsidR="0075793C" w:rsidRDefault="0075793C" w:rsidP="0075793C">
            <w:pPr>
              <w:pStyle w:val="Default"/>
              <w:rPr>
                <w:sz w:val="20"/>
                <w:szCs w:val="20"/>
              </w:rPr>
            </w:pPr>
            <w:r>
              <w:rPr>
                <w:sz w:val="20"/>
                <w:szCs w:val="20"/>
              </w:rPr>
              <w:t xml:space="preserve">Symptoms of allergic reaction, hay fever, itching </w:t>
            </w:r>
          </w:p>
          <w:p w14:paraId="69EAC4C3" w14:textId="77777777" w:rsidR="0075793C" w:rsidRDefault="0075793C" w:rsidP="0075793C">
            <w:pPr>
              <w:pStyle w:val="Default"/>
              <w:rPr>
                <w:sz w:val="20"/>
                <w:szCs w:val="20"/>
              </w:rPr>
            </w:pPr>
            <w:r>
              <w:rPr>
                <w:sz w:val="20"/>
                <w:szCs w:val="20"/>
              </w:rPr>
              <w:t xml:space="preserve">For children only if unable to swallow tablet formulation </w:t>
            </w:r>
          </w:p>
        </w:tc>
      </w:tr>
      <w:tr w:rsidR="0075793C" w14:paraId="41B64443" w14:textId="77777777" w:rsidTr="0051263C">
        <w:trPr>
          <w:trHeight w:val="598"/>
        </w:trPr>
        <w:tc>
          <w:tcPr>
            <w:tcW w:w="4917" w:type="dxa"/>
          </w:tcPr>
          <w:p w14:paraId="74F75B45" w14:textId="77777777" w:rsidR="0075793C" w:rsidRDefault="0075793C" w:rsidP="0075793C">
            <w:pPr>
              <w:pStyle w:val="Default"/>
              <w:rPr>
                <w:sz w:val="20"/>
                <w:szCs w:val="20"/>
              </w:rPr>
            </w:pPr>
            <w:r>
              <w:rPr>
                <w:sz w:val="20"/>
                <w:szCs w:val="20"/>
              </w:rPr>
              <w:t xml:space="preserve">Chlorhexidine 0.2% mouthwash (pack size 300ml) </w:t>
            </w:r>
          </w:p>
        </w:tc>
        <w:tc>
          <w:tcPr>
            <w:tcW w:w="4917" w:type="dxa"/>
          </w:tcPr>
          <w:p w14:paraId="50755E7A" w14:textId="77777777" w:rsidR="0075793C" w:rsidRDefault="0075793C" w:rsidP="0075793C">
            <w:pPr>
              <w:pStyle w:val="Default"/>
              <w:rPr>
                <w:sz w:val="20"/>
                <w:szCs w:val="20"/>
              </w:rPr>
            </w:pPr>
            <w:r>
              <w:rPr>
                <w:sz w:val="20"/>
                <w:szCs w:val="20"/>
              </w:rPr>
              <w:t xml:space="preserve">For bleeding gums, irritated </w:t>
            </w:r>
            <w:proofErr w:type="gramStart"/>
            <w:r>
              <w:rPr>
                <w:sz w:val="20"/>
                <w:szCs w:val="20"/>
              </w:rPr>
              <w:t>gums</w:t>
            </w:r>
            <w:proofErr w:type="gramEnd"/>
            <w:r>
              <w:rPr>
                <w:sz w:val="20"/>
                <w:szCs w:val="20"/>
              </w:rPr>
              <w:t xml:space="preserve"> and mouth ulcers </w:t>
            </w:r>
          </w:p>
        </w:tc>
      </w:tr>
      <w:tr w:rsidR="0075793C" w14:paraId="5A575C37" w14:textId="77777777" w:rsidTr="0051263C">
        <w:trPr>
          <w:trHeight w:val="598"/>
        </w:trPr>
        <w:tc>
          <w:tcPr>
            <w:tcW w:w="4917" w:type="dxa"/>
          </w:tcPr>
          <w:p w14:paraId="0865A54C" w14:textId="77777777" w:rsidR="0075793C" w:rsidRDefault="0075793C" w:rsidP="0075793C">
            <w:pPr>
              <w:pStyle w:val="Default"/>
              <w:rPr>
                <w:sz w:val="20"/>
                <w:szCs w:val="20"/>
              </w:rPr>
            </w:pPr>
            <w:r>
              <w:rPr>
                <w:sz w:val="20"/>
                <w:szCs w:val="20"/>
              </w:rPr>
              <w:t xml:space="preserve">Vitamin D </w:t>
            </w:r>
          </w:p>
          <w:p w14:paraId="3E82F7C0" w14:textId="77777777" w:rsidR="0075793C" w:rsidRDefault="0075793C" w:rsidP="0075793C">
            <w:pPr>
              <w:pStyle w:val="Default"/>
              <w:rPr>
                <w:sz w:val="20"/>
                <w:szCs w:val="20"/>
              </w:rPr>
            </w:pPr>
            <w:proofErr w:type="spellStart"/>
            <w:r>
              <w:rPr>
                <w:sz w:val="20"/>
                <w:szCs w:val="20"/>
              </w:rPr>
              <w:t>ColeDose</w:t>
            </w:r>
            <w:proofErr w:type="spellEnd"/>
            <w:r>
              <w:rPr>
                <w:sz w:val="20"/>
                <w:szCs w:val="20"/>
              </w:rPr>
              <w:t xml:space="preserve"> D3 </w:t>
            </w:r>
            <w:proofErr w:type="gramStart"/>
            <w:r>
              <w:rPr>
                <w:sz w:val="20"/>
                <w:szCs w:val="20"/>
              </w:rPr>
              <w:t>800 unit</w:t>
            </w:r>
            <w:proofErr w:type="gramEnd"/>
            <w:r>
              <w:rPr>
                <w:sz w:val="20"/>
                <w:szCs w:val="20"/>
              </w:rPr>
              <w:t xml:space="preserve"> tablets (suitable for vegans) (pack size 30) </w:t>
            </w:r>
          </w:p>
          <w:p w14:paraId="416761DB" w14:textId="77777777" w:rsidR="0075793C" w:rsidRDefault="0075793C" w:rsidP="0075793C">
            <w:pPr>
              <w:pStyle w:val="Default"/>
              <w:rPr>
                <w:sz w:val="20"/>
                <w:szCs w:val="20"/>
              </w:rPr>
            </w:pPr>
            <w:r>
              <w:rPr>
                <w:sz w:val="20"/>
                <w:szCs w:val="20"/>
              </w:rPr>
              <w:t xml:space="preserve">Or </w:t>
            </w:r>
          </w:p>
          <w:p w14:paraId="3621F7FC" w14:textId="77777777" w:rsidR="0075793C" w:rsidRDefault="0075793C" w:rsidP="0075793C">
            <w:pPr>
              <w:pStyle w:val="Default"/>
              <w:rPr>
                <w:sz w:val="20"/>
                <w:szCs w:val="20"/>
              </w:rPr>
            </w:pPr>
            <w:r>
              <w:rPr>
                <w:sz w:val="20"/>
                <w:szCs w:val="20"/>
              </w:rPr>
              <w:t xml:space="preserve">Colekal-D3 </w:t>
            </w:r>
            <w:proofErr w:type="gramStart"/>
            <w:r>
              <w:rPr>
                <w:sz w:val="20"/>
                <w:szCs w:val="20"/>
              </w:rPr>
              <w:t>800 unit</w:t>
            </w:r>
            <w:proofErr w:type="gramEnd"/>
            <w:r>
              <w:rPr>
                <w:sz w:val="20"/>
                <w:szCs w:val="20"/>
              </w:rPr>
              <w:t xml:space="preserve"> tablets (suitable for vegetarians </w:t>
            </w:r>
            <w:r w:rsidRPr="0075793C">
              <w:rPr>
                <w:sz w:val="20"/>
                <w:szCs w:val="20"/>
              </w:rPr>
              <w:t xml:space="preserve">not </w:t>
            </w:r>
            <w:r>
              <w:rPr>
                <w:sz w:val="20"/>
                <w:szCs w:val="20"/>
              </w:rPr>
              <w:t xml:space="preserve">vegans) (pack size 30) </w:t>
            </w:r>
          </w:p>
        </w:tc>
        <w:tc>
          <w:tcPr>
            <w:tcW w:w="4917" w:type="dxa"/>
          </w:tcPr>
          <w:p w14:paraId="503347D3" w14:textId="77777777" w:rsidR="0075793C" w:rsidRDefault="0075793C" w:rsidP="0075793C">
            <w:pPr>
              <w:pStyle w:val="Default"/>
              <w:rPr>
                <w:sz w:val="20"/>
                <w:szCs w:val="20"/>
              </w:rPr>
            </w:pPr>
            <w:r>
              <w:rPr>
                <w:sz w:val="20"/>
                <w:szCs w:val="20"/>
              </w:rPr>
              <w:t xml:space="preserve">Adults only. To regulate the amount of calcium and phosphate in the body. It helps to keep bones, teeth, and muscles healthy. Used to prevent vitamin D deficiency and as such may be provided to all asylum seekers that present with a valid voucher. </w:t>
            </w:r>
          </w:p>
        </w:tc>
      </w:tr>
    </w:tbl>
    <w:p w14:paraId="209E60F8" w14:textId="7076B7E1" w:rsidR="0051263C" w:rsidRDefault="0075793C" w:rsidP="0075793C">
      <w:pPr>
        <w:rPr>
          <w:b/>
          <w:bCs/>
          <w:sz w:val="20"/>
          <w:szCs w:val="20"/>
        </w:rPr>
      </w:pPr>
      <w:r>
        <w:rPr>
          <w:b/>
          <w:bCs/>
          <w:sz w:val="20"/>
          <w:szCs w:val="20"/>
        </w:rPr>
        <w:t xml:space="preserve">Appendix </w:t>
      </w:r>
      <w:r w:rsidR="0051263C">
        <w:rPr>
          <w:b/>
          <w:bCs/>
          <w:sz w:val="20"/>
          <w:szCs w:val="20"/>
        </w:rPr>
        <w:t>3</w:t>
      </w:r>
      <w:r>
        <w:rPr>
          <w:b/>
          <w:bCs/>
          <w:sz w:val="20"/>
          <w:szCs w:val="20"/>
        </w:rPr>
        <w:t>: OTC Medicines List</w:t>
      </w:r>
    </w:p>
    <w:p w14:paraId="07733B94" w14:textId="77777777" w:rsidR="0051263C" w:rsidRPr="0051263C" w:rsidRDefault="0051263C" w:rsidP="0075793C">
      <w:pPr>
        <w:rPr>
          <w:b/>
          <w:bCs/>
          <w:sz w:val="20"/>
          <w:szCs w:val="20"/>
        </w:rPr>
      </w:pPr>
    </w:p>
    <w:sectPr w:rsidR="0051263C" w:rsidRPr="00512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4CB9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393FD7"/>
    <w:multiLevelType w:val="hybridMultilevel"/>
    <w:tmpl w:val="FA52E7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CA25D1"/>
    <w:multiLevelType w:val="hybridMultilevel"/>
    <w:tmpl w:val="7BBA0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8297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4443106">
    <w:abstractNumId w:val="2"/>
  </w:num>
  <w:num w:numId="2" w16cid:durableId="1858764491">
    <w:abstractNumId w:val="1"/>
  </w:num>
  <w:num w:numId="3" w16cid:durableId="1395347998">
    <w:abstractNumId w:val="0"/>
  </w:num>
  <w:num w:numId="4" w16cid:durableId="639577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3C"/>
    <w:rsid w:val="00134003"/>
    <w:rsid w:val="001C0792"/>
    <w:rsid w:val="001D3F3F"/>
    <w:rsid w:val="00384762"/>
    <w:rsid w:val="0051263C"/>
    <w:rsid w:val="0075793C"/>
    <w:rsid w:val="007F25B4"/>
    <w:rsid w:val="009544EF"/>
    <w:rsid w:val="00A368E9"/>
    <w:rsid w:val="00D13C93"/>
    <w:rsid w:val="00D70599"/>
    <w:rsid w:val="4B84F83E"/>
    <w:rsid w:val="5ACD6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1B7"/>
  <w15:chartTrackingRefBased/>
  <w15:docId w15:val="{5322E77F-B6CB-4B20-9543-6FA6B933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9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5793C"/>
    <w:rPr>
      <w:color w:val="0000FF" w:themeColor="hyperlink"/>
      <w:u w:val="single"/>
    </w:rPr>
  </w:style>
  <w:style w:type="character" w:styleId="UnresolvedMention">
    <w:name w:val="Unresolved Mention"/>
    <w:basedOn w:val="DefaultParagraphFont"/>
    <w:uiPriority w:val="99"/>
    <w:semiHidden/>
    <w:unhideWhenUsed/>
    <w:rsid w:val="0075793C"/>
    <w:rPr>
      <w:color w:val="605E5C"/>
      <w:shd w:val="clear" w:color="auto" w:fill="E1DFDD"/>
    </w:rPr>
  </w:style>
  <w:style w:type="paragraph" w:styleId="NoSpacing">
    <w:name w:val="No Spacing"/>
    <w:uiPriority w:val="1"/>
    <w:qFormat/>
    <w:rsid w:val="0075793C"/>
    <w:pPr>
      <w:spacing w:after="0" w:line="240" w:lineRule="auto"/>
    </w:pPr>
  </w:style>
  <w:style w:type="table" w:styleId="TableGrid">
    <w:name w:val="Table Grid"/>
    <w:basedOn w:val="TableNormal"/>
    <w:uiPriority w:val="59"/>
    <w:rsid w:val="00512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have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bsa.nhs.uk/nhs-low-income-scheme/hc2-certificates-full-help-health-costs" TargetMode="External"/><Relationship Id="rId5" Type="http://schemas.openxmlformats.org/officeDocument/2006/relationships/hyperlink" Target="https://www.nhsbsa.nhs.uk/nhs-low-income-scheme/hc2-certificates-full-help-health-cos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CRENTSIL, Caroline (SIRONA CARE &amp; HEALTH)</dc:creator>
  <cp:keywords/>
  <dc:description/>
  <cp:lastModifiedBy>TODD, Laura (MONTPELIER HEALTH CENTRE)</cp:lastModifiedBy>
  <cp:revision>2</cp:revision>
  <dcterms:created xsi:type="dcterms:W3CDTF">2023-08-23T21:41:00Z</dcterms:created>
  <dcterms:modified xsi:type="dcterms:W3CDTF">2023-08-23T21:41:00Z</dcterms:modified>
</cp:coreProperties>
</file>