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0D64" w14:textId="60B6B9D6" w:rsidR="002921F5" w:rsidRPr="002921F5" w:rsidRDefault="002921F5" w:rsidP="00C171F1">
      <w:pPr>
        <w:shd w:val="clear" w:color="auto" w:fill="FFFFFF"/>
        <w:spacing w:after="0" w:line="240" w:lineRule="auto"/>
        <w:textAlignment w:val="baseline"/>
        <w:rPr>
          <w:rFonts w:ascii="Arial" w:eastAsia="Times New Roman" w:hAnsi="Arial" w:cs="Arial"/>
          <w:b/>
          <w:bCs/>
          <w:sz w:val="32"/>
          <w:szCs w:val="32"/>
          <w:lang w:eastAsia="en-GB"/>
        </w:rPr>
      </w:pPr>
      <w:r w:rsidRPr="002921F5">
        <w:rPr>
          <w:rFonts w:ascii="Arial" w:eastAsia="Times New Roman" w:hAnsi="Arial" w:cs="Arial"/>
          <w:b/>
          <w:bCs/>
          <w:sz w:val="32"/>
          <w:szCs w:val="32"/>
          <w:lang w:eastAsia="en-GB"/>
        </w:rPr>
        <w:t>Asylum process</w:t>
      </w:r>
    </w:p>
    <w:p w14:paraId="580B3965" w14:textId="77777777" w:rsidR="002921F5" w:rsidRDefault="002921F5" w:rsidP="00C171F1">
      <w:pPr>
        <w:shd w:val="clear" w:color="auto" w:fill="FFFFFF"/>
        <w:spacing w:after="0" w:line="240" w:lineRule="auto"/>
        <w:textAlignment w:val="baseline"/>
        <w:rPr>
          <w:rFonts w:ascii="Arial" w:eastAsia="Times New Roman" w:hAnsi="Arial" w:cs="Arial"/>
          <w:sz w:val="24"/>
          <w:szCs w:val="24"/>
          <w:lang w:eastAsia="en-GB"/>
        </w:rPr>
      </w:pPr>
    </w:p>
    <w:p w14:paraId="733A5B82" w14:textId="7C400E49" w:rsidR="00C171F1" w:rsidRDefault="00C171F1" w:rsidP="00C171F1">
      <w:pPr>
        <w:shd w:val="clear" w:color="auto" w:fill="FFFFFF"/>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A </w:t>
      </w:r>
      <w:r w:rsidRPr="00924131">
        <w:rPr>
          <w:rFonts w:ascii="Arial" w:eastAsia="Times New Roman" w:hAnsi="Arial" w:cs="Arial"/>
          <w:b/>
          <w:bCs/>
          <w:sz w:val="24"/>
          <w:szCs w:val="24"/>
          <w:lang w:eastAsia="en-GB"/>
        </w:rPr>
        <w:t>refugee</w:t>
      </w:r>
      <w:r>
        <w:rPr>
          <w:rFonts w:ascii="Arial" w:eastAsia="Times New Roman" w:hAnsi="Arial" w:cs="Arial"/>
          <w:sz w:val="24"/>
          <w:szCs w:val="24"/>
          <w:lang w:eastAsia="en-GB"/>
        </w:rPr>
        <w:t xml:space="preserve"> is a person who ‘owing to a well-founded fear of being persecuted for reasons of race, religion, nationality, membership of a particular social group, or political opinion, is outside the country of his nationality, and is unable to or, owing to such fear, is unwilling to avail himself of the protection of that country’</w:t>
      </w:r>
    </w:p>
    <w:p w14:paraId="20D571C8" w14:textId="77777777" w:rsidR="00C171F1" w:rsidRDefault="00C171F1" w:rsidP="00C171F1">
      <w:pPr>
        <w:shd w:val="clear" w:color="auto" w:fill="FFFFFF"/>
        <w:spacing w:after="0" w:line="240" w:lineRule="auto"/>
        <w:textAlignment w:val="baseline"/>
        <w:rPr>
          <w:rFonts w:ascii="Arial" w:eastAsia="Times New Roman" w:hAnsi="Arial" w:cs="Arial"/>
          <w:sz w:val="24"/>
          <w:szCs w:val="24"/>
          <w:lang w:eastAsia="en-GB"/>
        </w:rPr>
      </w:pPr>
    </w:p>
    <w:p w14:paraId="377ABA55" w14:textId="77777777" w:rsidR="00C171F1" w:rsidRPr="0075129B" w:rsidRDefault="00C171F1" w:rsidP="00C171F1">
      <w:pPr>
        <w:shd w:val="clear" w:color="auto" w:fill="FFFFFF"/>
        <w:spacing w:after="0" w:line="240" w:lineRule="auto"/>
        <w:textAlignment w:val="baseline"/>
        <w:rPr>
          <w:rFonts w:ascii="Arial" w:eastAsia="Times New Roman" w:hAnsi="Arial" w:cs="Arial"/>
          <w:i/>
          <w:iCs/>
          <w:sz w:val="24"/>
          <w:szCs w:val="24"/>
          <w:lang w:eastAsia="en-GB"/>
        </w:rPr>
      </w:pPr>
      <w:r w:rsidRPr="0075129B">
        <w:rPr>
          <w:rFonts w:ascii="Arial" w:eastAsia="Times New Roman" w:hAnsi="Arial" w:cs="Arial"/>
          <w:i/>
          <w:iCs/>
          <w:sz w:val="24"/>
          <w:szCs w:val="24"/>
          <w:lang w:eastAsia="en-GB"/>
        </w:rPr>
        <w:t>Article 1, 1951 Convention Relating to the Status of Refugees</w:t>
      </w:r>
    </w:p>
    <w:p w14:paraId="7A4B1CF3" w14:textId="77777777" w:rsidR="00C171F1" w:rsidRPr="00924131" w:rsidRDefault="00C171F1" w:rsidP="00C171F1">
      <w:pPr>
        <w:shd w:val="clear" w:color="auto" w:fill="FFFFFF"/>
        <w:spacing w:after="0" w:line="240" w:lineRule="auto"/>
        <w:textAlignment w:val="baseline"/>
        <w:rPr>
          <w:rFonts w:ascii="Arial" w:eastAsia="Times New Roman" w:hAnsi="Arial" w:cs="Arial"/>
          <w:sz w:val="24"/>
          <w:szCs w:val="24"/>
          <w:lang w:eastAsia="en-GB"/>
        </w:rPr>
      </w:pPr>
    </w:p>
    <w:p w14:paraId="2EA2A0D2" w14:textId="77777777" w:rsidR="00C171F1" w:rsidRDefault="00C171F1" w:rsidP="00C171F1">
      <w:pPr>
        <w:shd w:val="clear" w:color="auto" w:fill="FFFFFF"/>
        <w:spacing w:after="0" w:line="240" w:lineRule="auto"/>
        <w:textAlignment w:val="baseline"/>
        <w:rPr>
          <w:rFonts w:ascii="Arial" w:hAnsi="Arial" w:cs="Arial"/>
          <w:color w:val="000000"/>
          <w:sz w:val="24"/>
          <w:szCs w:val="24"/>
        </w:rPr>
      </w:pPr>
      <w:r w:rsidRPr="00924131">
        <w:rPr>
          <w:rFonts w:ascii="Arial" w:hAnsi="Arial" w:cs="Arial"/>
          <w:color w:val="000000"/>
          <w:sz w:val="24"/>
          <w:szCs w:val="24"/>
        </w:rPr>
        <w:t xml:space="preserve">An </w:t>
      </w:r>
      <w:r w:rsidRPr="00924131">
        <w:rPr>
          <w:rFonts w:ascii="Arial" w:hAnsi="Arial" w:cs="Arial"/>
          <w:b/>
          <w:bCs/>
          <w:color w:val="000000"/>
          <w:sz w:val="24"/>
          <w:szCs w:val="24"/>
        </w:rPr>
        <w:t>asylum seeker</w:t>
      </w:r>
      <w:r w:rsidRPr="00924131">
        <w:rPr>
          <w:rFonts w:ascii="Arial" w:hAnsi="Arial" w:cs="Arial"/>
          <w:color w:val="000000"/>
          <w:sz w:val="24"/>
          <w:szCs w:val="24"/>
        </w:rPr>
        <w:t xml:space="preserve"> is a person who has left their country and is seeking protection from persecution and serious human rights violations in another country, but who hasn’t yet been legally recognized as a refugee and is waiting to receive a decision on their asylum claim.</w:t>
      </w:r>
    </w:p>
    <w:p w14:paraId="30006C96" w14:textId="77777777" w:rsidR="00C171F1" w:rsidRPr="00EF7C00" w:rsidRDefault="00C171F1" w:rsidP="00C171F1">
      <w:pPr>
        <w:shd w:val="clear" w:color="auto" w:fill="FFFFFF"/>
        <w:spacing w:after="0" w:line="240" w:lineRule="auto"/>
        <w:textAlignment w:val="baseline"/>
        <w:rPr>
          <w:rFonts w:ascii="Arial" w:hAnsi="Arial" w:cs="Arial"/>
          <w:color w:val="FFFFFF"/>
          <w:sz w:val="24"/>
          <w:szCs w:val="24"/>
          <w:shd w:val="clear" w:color="auto" w:fill="0072BC"/>
        </w:rPr>
      </w:pPr>
      <w:r w:rsidRPr="00EF7C00">
        <w:rPr>
          <w:rFonts w:ascii="Arial" w:hAnsi="Arial" w:cs="Arial"/>
          <w:color w:val="202C39"/>
          <w:sz w:val="24"/>
          <w:szCs w:val="24"/>
        </w:rPr>
        <w:br/>
      </w:r>
      <w:r w:rsidRPr="00EF7C00">
        <w:rPr>
          <w:rFonts w:ascii="Arial" w:hAnsi="Arial" w:cs="Arial"/>
          <w:color w:val="202C39"/>
          <w:sz w:val="24"/>
          <w:szCs w:val="24"/>
          <w:shd w:val="clear" w:color="auto" w:fill="FFFFFF"/>
        </w:rPr>
        <w:t>A</w:t>
      </w:r>
      <w:r w:rsidRPr="00EF7C00">
        <w:rPr>
          <w:rFonts w:ascii="Arial" w:hAnsi="Arial" w:cs="Arial"/>
          <w:b/>
          <w:bCs/>
          <w:color w:val="202C39"/>
          <w:sz w:val="24"/>
          <w:szCs w:val="24"/>
          <w:shd w:val="clear" w:color="auto" w:fill="FFFFFF"/>
        </w:rPr>
        <w:t xml:space="preserve"> refused asylum applicant</w:t>
      </w:r>
      <w:r w:rsidRPr="00EF7C00">
        <w:rPr>
          <w:rFonts w:ascii="Arial" w:hAnsi="Arial" w:cs="Arial"/>
          <w:color w:val="202C39"/>
          <w:sz w:val="24"/>
          <w:szCs w:val="24"/>
          <w:shd w:val="clear" w:color="auto" w:fill="FFFFFF"/>
        </w:rPr>
        <w:t xml:space="preserve"> </w:t>
      </w:r>
      <w:r>
        <w:rPr>
          <w:rFonts w:ascii="Arial" w:hAnsi="Arial" w:cs="Arial"/>
          <w:color w:val="202C39"/>
          <w:sz w:val="24"/>
          <w:szCs w:val="24"/>
          <w:shd w:val="clear" w:color="auto" w:fill="FFFFFF"/>
        </w:rPr>
        <w:t>has had unsuccessful in their asyl</w:t>
      </w:r>
      <w:r w:rsidRPr="00EF7C00">
        <w:rPr>
          <w:rFonts w:ascii="Arial" w:hAnsi="Arial" w:cs="Arial"/>
          <w:color w:val="202C39"/>
          <w:sz w:val="24"/>
          <w:szCs w:val="24"/>
          <w:shd w:val="clear" w:color="auto" w:fill="FFFFFF"/>
        </w:rPr>
        <w:t>um applica</w:t>
      </w:r>
      <w:r>
        <w:rPr>
          <w:rFonts w:ascii="Arial" w:hAnsi="Arial" w:cs="Arial"/>
          <w:color w:val="202C39"/>
          <w:sz w:val="24"/>
          <w:szCs w:val="24"/>
          <w:shd w:val="clear" w:color="auto" w:fill="FFFFFF"/>
        </w:rPr>
        <w:t xml:space="preserve">tion </w:t>
      </w:r>
      <w:r w:rsidRPr="00EF7C00">
        <w:rPr>
          <w:rFonts w:ascii="Arial" w:hAnsi="Arial" w:cs="Arial"/>
          <w:color w:val="202C39"/>
          <w:sz w:val="24"/>
          <w:szCs w:val="24"/>
          <w:shd w:val="clear" w:color="auto" w:fill="FFFFFF"/>
        </w:rPr>
        <w:t>and has no other claim for protection awaiting a decision. Some people who have their case refused voluntarily return home, others are forcibly returned. </w:t>
      </w:r>
    </w:p>
    <w:p w14:paraId="7FE8C487" w14:textId="7EE09D31" w:rsidR="00F36131" w:rsidRDefault="00000000"/>
    <w:p w14:paraId="0B29FC19" w14:textId="77777777" w:rsidR="002921F5" w:rsidRPr="00323A5B" w:rsidRDefault="002921F5" w:rsidP="002921F5">
      <w:pPr>
        <w:shd w:val="clear" w:color="auto" w:fill="FFFFFF"/>
        <w:spacing w:after="225" w:line="240" w:lineRule="auto"/>
        <w:rPr>
          <w:rFonts w:ascii="Arial" w:eastAsia="Times New Roman" w:hAnsi="Arial" w:cs="Arial"/>
          <w:b/>
          <w:bCs/>
          <w:sz w:val="32"/>
          <w:szCs w:val="32"/>
          <w:lang w:eastAsia="en-GB"/>
        </w:rPr>
      </w:pPr>
      <w:r w:rsidRPr="00323A5B">
        <w:rPr>
          <w:rFonts w:ascii="Arial" w:hAnsi="Arial" w:cs="Arial"/>
          <w:b/>
          <w:bCs/>
          <w:sz w:val="32"/>
          <w:szCs w:val="32"/>
        </w:rPr>
        <w:t>Legal support</w:t>
      </w:r>
    </w:p>
    <w:p w14:paraId="64B8FD6F" w14:textId="77777777" w:rsidR="002921F5" w:rsidRPr="00323A5B" w:rsidRDefault="002921F5" w:rsidP="002921F5">
      <w:pPr>
        <w:pStyle w:val="ListParagraph"/>
        <w:numPr>
          <w:ilvl w:val="0"/>
          <w:numId w:val="1"/>
        </w:numPr>
        <w:shd w:val="clear" w:color="auto" w:fill="FFFFFF"/>
        <w:spacing w:after="225" w:line="240" w:lineRule="auto"/>
        <w:rPr>
          <w:rStyle w:val="Hyperlink"/>
          <w:rFonts w:ascii="Arial" w:eastAsia="Times New Roman" w:hAnsi="Arial" w:cs="Arial"/>
          <w:sz w:val="24"/>
          <w:szCs w:val="24"/>
          <w:lang w:eastAsia="en-GB"/>
        </w:rPr>
      </w:pPr>
      <w:r>
        <w:rPr>
          <w:rFonts w:ascii="Arial" w:eastAsia="Times New Roman" w:hAnsi="Arial" w:cs="Arial"/>
          <w:sz w:val="24"/>
          <w:szCs w:val="24"/>
          <w:lang w:eastAsia="en-GB"/>
        </w:rPr>
        <w:t xml:space="preserve">A guide to UK asylum and immigration system </w:t>
      </w:r>
      <w:hyperlink r:id="rId5" w:history="1">
        <w:r>
          <w:rPr>
            <w:rStyle w:val="Hyperlink"/>
          </w:rPr>
          <w:t>Right to Remain Toolkit – Right to Remain</w:t>
        </w:r>
      </w:hyperlink>
    </w:p>
    <w:p w14:paraId="27DF6790" w14:textId="77777777" w:rsidR="002921F5" w:rsidRPr="00323A5B" w:rsidRDefault="002921F5" w:rsidP="002921F5">
      <w:pPr>
        <w:pStyle w:val="ListParagraph"/>
        <w:numPr>
          <w:ilvl w:val="0"/>
          <w:numId w:val="1"/>
        </w:numPr>
        <w:shd w:val="clear" w:color="auto" w:fill="FFFFFF"/>
        <w:spacing w:after="225" w:line="240" w:lineRule="auto"/>
        <w:rPr>
          <w:rFonts w:ascii="Arial" w:eastAsia="Times New Roman" w:hAnsi="Arial" w:cs="Arial"/>
          <w:color w:val="FF0000"/>
          <w:sz w:val="24"/>
          <w:szCs w:val="24"/>
          <w:lang w:eastAsia="en-GB"/>
        </w:rPr>
      </w:pPr>
      <w:r w:rsidRPr="00323A5B">
        <w:rPr>
          <w:rFonts w:ascii="Arial" w:eastAsia="Times New Roman" w:hAnsi="Arial" w:cs="Arial"/>
          <w:color w:val="FF0000"/>
          <w:sz w:val="24"/>
          <w:szCs w:val="24"/>
          <w:lang w:eastAsia="en-GB"/>
        </w:rPr>
        <w:t>Asylum questionnaire FAQ</w:t>
      </w:r>
    </w:p>
    <w:p w14:paraId="4094C9CB" w14:textId="38AFF18B" w:rsidR="002921F5" w:rsidRDefault="002921F5" w:rsidP="002921F5">
      <w:pPr>
        <w:shd w:val="clear" w:color="auto" w:fill="FFFFFF"/>
        <w:spacing w:after="225" w:line="240" w:lineRule="auto"/>
        <w:rPr>
          <w:rFonts w:ascii="Arial" w:hAnsi="Arial" w:cs="Arial"/>
          <w:sz w:val="24"/>
          <w:szCs w:val="24"/>
        </w:rPr>
      </w:pPr>
      <w:r w:rsidRPr="003C1D5E">
        <w:rPr>
          <w:rFonts w:ascii="Arial" w:hAnsi="Arial" w:cs="Arial"/>
          <w:sz w:val="24"/>
          <w:szCs w:val="24"/>
        </w:rPr>
        <w:t xml:space="preserve">If a young person is </w:t>
      </w:r>
      <w:r w:rsidRPr="003C1D5E">
        <w:rPr>
          <w:rFonts w:ascii="Arial" w:hAnsi="Arial" w:cs="Arial"/>
          <w:b/>
          <w:bCs/>
          <w:sz w:val="32"/>
          <w:szCs w:val="32"/>
        </w:rPr>
        <w:t>disputing their age</w:t>
      </w:r>
      <w:r w:rsidRPr="003C1D5E">
        <w:rPr>
          <w:rFonts w:ascii="Arial" w:hAnsi="Arial" w:cs="Arial"/>
          <w:sz w:val="24"/>
          <w:szCs w:val="24"/>
        </w:rPr>
        <w:t xml:space="preserve"> as it is recorded with the Home Office, please advise them to contact </w:t>
      </w:r>
      <w:hyperlink r:id="rId6" w:history="1">
        <w:r w:rsidRPr="003C1D5E">
          <w:rPr>
            <w:rStyle w:val="Hyperlink"/>
            <w:rFonts w:ascii="Arial" w:hAnsi="Arial" w:cs="Arial"/>
            <w:sz w:val="24"/>
            <w:szCs w:val="24"/>
          </w:rPr>
          <w:t>Migrant Help</w:t>
        </w:r>
      </w:hyperlink>
      <w:r w:rsidRPr="003C1D5E">
        <w:rPr>
          <w:rFonts w:ascii="Arial" w:hAnsi="Arial" w:cs="Arial"/>
          <w:sz w:val="24"/>
          <w:szCs w:val="24"/>
        </w:rPr>
        <w:t xml:space="preserve"> and refer them to local authority child social services for assessment</w:t>
      </w:r>
      <w:r>
        <w:rPr>
          <w:rFonts w:ascii="Arial" w:hAnsi="Arial" w:cs="Arial"/>
          <w:sz w:val="24"/>
          <w:szCs w:val="24"/>
        </w:rPr>
        <w:t xml:space="preserve"> or email us for advice.</w:t>
      </w:r>
    </w:p>
    <w:p w14:paraId="2DDED109" w14:textId="061F3EFB" w:rsidR="002A5190" w:rsidRDefault="002A5190" w:rsidP="002A5190">
      <w:pPr>
        <w:shd w:val="clear" w:color="auto" w:fill="FFFFFF"/>
        <w:spacing w:after="225" w:line="240" w:lineRule="auto"/>
        <w:rPr>
          <w:rFonts w:ascii="Arial" w:hAnsi="Arial" w:cs="Arial"/>
          <w:sz w:val="24"/>
          <w:szCs w:val="24"/>
        </w:rPr>
      </w:pPr>
      <w:r>
        <w:rPr>
          <w:rFonts w:ascii="Arial" w:hAnsi="Arial" w:cs="Arial"/>
          <w:b/>
          <w:bCs/>
          <w:sz w:val="32"/>
          <w:szCs w:val="32"/>
        </w:rPr>
        <w:t>S</w:t>
      </w:r>
      <w:r w:rsidRPr="003C1D5E">
        <w:rPr>
          <w:rFonts w:ascii="Arial" w:hAnsi="Arial" w:cs="Arial"/>
          <w:b/>
          <w:bCs/>
          <w:sz w:val="32"/>
          <w:szCs w:val="32"/>
        </w:rPr>
        <w:t>upporting letters</w:t>
      </w:r>
    </w:p>
    <w:p w14:paraId="7A0B51E1" w14:textId="531B1E47" w:rsidR="002A5190" w:rsidRDefault="002A5190" w:rsidP="002A5190">
      <w:pPr>
        <w:shd w:val="clear" w:color="auto" w:fill="FFFFFF"/>
        <w:spacing w:after="225" w:line="240" w:lineRule="auto"/>
        <w:rPr>
          <w:rFonts w:ascii="Arial" w:hAnsi="Arial" w:cs="Arial"/>
          <w:sz w:val="24"/>
          <w:szCs w:val="24"/>
        </w:rPr>
      </w:pPr>
      <w:r>
        <w:rPr>
          <w:rFonts w:ascii="Arial" w:hAnsi="Arial" w:cs="Arial"/>
          <w:sz w:val="24"/>
          <w:szCs w:val="24"/>
        </w:rPr>
        <w:t>P</w:t>
      </w:r>
      <w:r w:rsidRPr="003C1D5E">
        <w:rPr>
          <w:rFonts w:ascii="Arial" w:hAnsi="Arial" w:cs="Arial"/>
          <w:sz w:val="24"/>
          <w:szCs w:val="24"/>
        </w:rPr>
        <w:t xml:space="preserve">lease provide these without charge where possible as GP letters can have a significant bearing on asylum case decisions. For example, the medical notes may contain documentation of injuries sustained </w:t>
      </w:r>
      <w:proofErr w:type="gramStart"/>
      <w:r w:rsidRPr="003C1D5E">
        <w:rPr>
          <w:rFonts w:ascii="Arial" w:hAnsi="Arial" w:cs="Arial"/>
          <w:sz w:val="24"/>
          <w:szCs w:val="24"/>
        </w:rPr>
        <w:t xml:space="preserve">as a result </w:t>
      </w:r>
      <w:r>
        <w:rPr>
          <w:rFonts w:ascii="Arial" w:hAnsi="Arial" w:cs="Arial"/>
          <w:sz w:val="24"/>
          <w:szCs w:val="24"/>
        </w:rPr>
        <w:t>of</w:t>
      </w:r>
      <w:proofErr w:type="gramEnd"/>
      <w:r>
        <w:rPr>
          <w:rFonts w:ascii="Arial" w:hAnsi="Arial" w:cs="Arial"/>
          <w:sz w:val="24"/>
          <w:szCs w:val="24"/>
        </w:rPr>
        <w:t xml:space="preserve"> </w:t>
      </w:r>
      <w:r w:rsidRPr="003C1D5E">
        <w:rPr>
          <w:rFonts w:ascii="Arial" w:hAnsi="Arial" w:cs="Arial"/>
          <w:sz w:val="24"/>
          <w:szCs w:val="24"/>
        </w:rPr>
        <w:t>trauma or detail a diagnosis of PTSD.</w:t>
      </w:r>
    </w:p>
    <w:p w14:paraId="1F512DC9" w14:textId="3DECC06C" w:rsidR="002A5190" w:rsidRDefault="002A5190" w:rsidP="002A5190">
      <w:pPr>
        <w:shd w:val="clear" w:color="auto" w:fill="FFFFFF"/>
        <w:spacing w:after="225" w:line="240" w:lineRule="auto"/>
        <w:rPr>
          <w:rFonts w:ascii="Arial" w:hAnsi="Arial" w:cs="Arial"/>
          <w:sz w:val="24"/>
          <w:szCs w:val="24"/>
        </w:rPr>
      </w:pPr>
      <w:r>
        <w:rPr>
          <w:rFonts w:ascii="Arial" w:hAnsi="Arial" w:cs="Arial"/>
          <w:sz w:val="24"/>
          <w:szCs w:val="24"/>
        </w:rPr>
        <w:t>Unfortunately</w:t>
      </w:r>
      <w:r>
        <w:rPr>
          <w:rFonts w:ascii="Arial" w:hAnsi="Arial" w:cs="Arial"/>
          <w:sz w:val="24"/>
          <w:szCs w:val="24"/>
        </w:rPr>
        <w:t>,</w:t>
      </w:r>
      <w:r>
        <w:rPr>
          <w:rFonts w:ascii="Arial" w:hAnsi="Arial" w:cs="Arial"/>
          <w:sz w:val="24"/>
          <w:szCs w:val="24"/>
        </w:rPr>
        <w:t xml:space="preserve"> it may not be appropriate to write a medical supporting letter to support a move to </w:t>
      </w:r>
      <w:r>
        <w:rPr>
          <w:rFonts w:ascii="Arial" w:hAnsi="Arial" w:cs="Arial"/>
          <w:sz w:val="24"/>
          <w:szCs w:val="24"/>
        </w:rPr>
        <w:t>non-hotel</w:t>
      </w:r>
      <w:r>
        <w:rPr>
          <w:rFonts w:ascii="Arial" w:hAnsi="Arial" w:cs="Arial"/>
          <w:sz w:val="24"/>
          <w:szCs w:val="24"/>
        </w:rPr>
        <w:t xml:space="preserve"> accomodation, as there are very limited alternative accomodation options.  Consider sending an </w:t>
      </w:r>
      <w:r w:rsidRPr="00EF7C00">
        <w:rPr>
          <w:rFonts w:ascii="Arial" w:hAnsi="Arial" w:cs="Arial"/>
          <w:b/>
          <w:bCs/>
          <w:sz w:val="24"/>
          <w:szCs w:val="24"/>
        </w:rPr>
        <w:t>advice and guidance email</w:t>
      </w:r>
      <w:r>
        <w:rPr>
          <w:rFonts w:ascii="Arial" w:hAnsi="Arial" w:cs="Arial"/>
          <w:sz w:val="24"/>
          <w:szCs w:val="24"/>
        </w:rPr>
        <w:t xml:space="preserve"> if you feel there is a significant reason why an individual or family need alternative accomodation provision.</w:t>
      </w:r>
    </w:p>
    <w:p w14:paraId="50D24646" w14:textId="77777777" w:rsidR="002A5190" w:rsidRPr="003C1D5E" w:rsidRDefault="002A5190" w:rsidP="002921F5">
      <w:pPr>
        <w:shd w:val="clear" w:color="auto" w:fill="FFFFFF"/>
        <w:spacing w:after="225" w:line="240" w:lineRule="auto"/>
        <w:rPr>
          <w:rFonts w:ascii="Arial" w:hAnsi="Arial" w:cs="Arial"/>
          <w:b/>
          <w:bCs/>
          <w:sz w:val="32"/>
          <w:szCs w:val="32"/>
        </w:rPr>
      </w:pPr>
    </w:p>
    <w:p w14:paraId="09FB5CF6" w14:textId="77777777" w:rsidR="002921F5" w:rsidRDefault="002921F5"/>
    <w:sectPr w:rsidR="00292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9AC"/>
    <w:multiLevelType w:val="hybridMultilevel"/>
    <w:tmpl w:val="4400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18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F1"/>
    <w:rsid w:val="002921F5"/>
    <w:rsid w:val="002A5190"/>
    <w:rsid w:val="002D6498"/>
    <w:rsid w:val="0070516A"/>
    <w:rsid w:val="00BC1E82"/>
    <w:rsid w:val="00C171F1"/>
    <w:rsid w:val="00DD6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0BCD"/>
  <w15:chartTrackingRefBased/>
  <w15:docId w15:val="{A502FF98-11EC-43DF-B96F-3A0A55DD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21F5"/>
    <w:rPr>
      <w:color w:val="0000FF"/>
      <w:u w:val="single"/>
    </w:rPr>
  </w:style>
  <w:style w:type="paragraph" w:styleId="ListParagraph">
    <w:name w:val="List Paragraph"/>
    <w:basedOn w:val="Normal"/>
    <w:uiPriority w:val="34"/>
    <w:qFormat/>
    <w:rsid w:val="00292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granthelpuk.org/" TargetMode="External"/><Relationship Id="rId5" Type="http://schemas.openxmlformats.org/officeDocument/2006/relationships/hyperlink" Target="https://righttoremain.org.uk/tool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Laura (MONTPELIER HEALTH CENTRE)</dc:creator>
  <cp:keywords/>
  <dc:description/>
  <cp:lastModifiedBy>TODD, Laura (MONTPELIER HEALTH CENTRE)</cp:lastModifiedBy>
  <cp:revision>3</cp:revision>
  <dcterms:created xsi:type="dcterms:W3CDTF">2023-08-14T09:58:00Z</dcterms:created>
  <dcterms:modified xsi:type="dcterms:W3CDTF">2023-08-14T10:42:00Z</dcterms:modified>
</cp:coreProperties>
</file>