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7F0B" w14:textId="0F0674C8" w:rsidR="00772AF9" w:rsidRPr="00C77CF9" w:rsidRDefault="00772AF9" w:rsidP="00FA42AA">
      <w:pPr>
        <w:jc w:val="center"/>
        <w:rPr>
          <w:rFonts w:cstheme="minorHAnsi"/>
          <w:b/>
          <w:bCs/>
          <w:color w:val="7030A0"/>
          <w:sz w:val="36"/>
          <w:szCs w:val="36"/>
          <w:lang w:val="en"/>
        </w:rPr>
      </w:pPr>
      <w:r w:rsidRPr="00C77CF9">
        <w:rPr>
          <w:rFonts w:cstheme="minorHAnsi"/>
          <w:b/>
          <w:bCs/>
          <w:color w:val="7030A0"/>
          <w:sz w:val="36"/>
          <w:szCs w:val="36"/>
          <w:lang w:val="en"/>
        </w:rPr>
        <w:t>Dietetic Outpatient Referral Criteria</w:t>
      </w:r>
    </w:p>
    <w:p w14:paraId="59D27C17" w14:textId="6392F674" w:rsidR="006E0F18" w:rsidRDefault="00317496" w:rsidP="006D1922">
      <w:pPr>
        <w:jc w:val="both"/>
        <w:rPr>
          <w:rFonts w:cstheme="minorHAnsi"/>
          <w:sz w:val="24"/>
          <w:szCs w:val="24"/>
          <w:lang w:val="en"/>
        </w:rPr>
      </w:pPr>
      <w:r w:rsidRPr="00555DCF">
        <w:rPr>
          <w:rFonts w:cstheme="minorHAnsi"/>
          <w:sz w:val="24"/>
          <w:szCs w:val="24"/>
          <w:lang w:val="en"/>
        </w:rPr>
        <w:t>If your patient has never seen a dietitian and you think that they need to, refer</w:t>
      </w:r>
      <w:r w:rsidR="00302E46" w:rsidRPr="00555DCF">
        <w:rPr>
          <w:rFonts w:cstheme="minorHAnsi"/>
          <w:sz w:val="24"/>
          <w:szCs w:val="24"/>
          <w:lang w:val="en"/>
        </w:rPr>
        <w:t xml:space="preserve">rals can be </w:t>
      </w:r>
      <w:r w:rsidR="00302E46" w:rsidRPr="00032919">
        <w:rPr>
          <w:rFonts w:cstheme="minorHAnsi"/>
          <w:sz w:val="24"/>
          <w:szCs w:val="24"/>
          <w:lang w:val="en"/>
        </w:rPr>
        <w:t>accepted in writing.</w:t>
      </w:r>
      <w:r w:rsidR="00302E46" w:rsidRPr="00555DCF">
        <w:rPr>
          <w:rFonts w:cstheme="minorHAnsi"/>
          <w:sz w:val="24"/>
          <w:szCs w:val="24"/>
          <w:lang w:val="en"/>
        </w:rPr>
        <w:t xml:space="preserve"> </w:t>
      </w:r>
    </w:p>
    <w:p w14:paraId="2A6F7E2B" w14:textId="6613B6D6" w:rsidR="00032919" w:rsidRPr="00555DCF" w:rsidRDefault="00032919" w:rsidP="00032919">
      <w:pPr>
        <w:jc w:val="both"/>
        <w:rPr>
          <w:rFonts w:cstheme="minorHAnsi"/>
          <w:b/>
          <w:sz w:val="24"/>
          <w:szCs w:val="24"/>
        </w:rPr>
      </w:pPr>
      <w:r w:rsidRPr="00555DCF">
        <w:rPr>
          <w:rFonts w:cstheme="minorHAnsi"/>
          <w:b/>
          <w:sz w:val="24"/>
          <w:szCs w:val="24"/>
        </w:rPr>
        <w:t xml:space="preserve">Referrals by letter can be emailed to </w:t>
      </w:r>
      <w:hyperlink r:id="rId10" w:history="1">
        <w:r w:rsidRPr="00555DCF">
          <w:rPr>
            <w:rStyle w:val="Hyperlink"/>
            <w:rFonts w:cstheme="minorHAnsi"/>
            <w:b/>
            <w:sz w:val="24"/>
            <w:szCs w:val="24"/>
          </w:rPr>
          <w:t>outpatients.appointments@nbt.nhs.uk</w:t>
        </w:r>
      </w:hyperlink>
      <w:r w:rsidRPr="00555DCF">
        <w:rPr>
          <w:rFonts w:cstheme="minorHAnsi"/>
          <w:b/>
          <w:sz w:val="24"/>
          <w:szCs w:val="24"/>
        </w:rPr>
        <w:t xml:space="preserve"> and should include:-</w:t>
      </w:r>
    </w:p>
    <w:p w14:paraId="1247F524" w14:textId="77777777" w:rsidR="00032919" w:rsidRPr="00555DCF" w:rsidRDefault="00032919" w:rsidP="00032919">
      <w:pPr>
        <w:pStyle w:val="NoSpacing"/>
        <w:numPr>
          <w:ilvl w:val="0"/>
          <w:numId w:val="15"/>
        </w:numPr>
        <w:rPr>
          <w:sz w:val="24"/>
          <w:szCs w:val="24"/>
        </w:rPr>
      </w:pPr>
      <w:r w:rsidRPr="00555DCF">
        <w:rPr>
          <w:sz w:val="24"/>
          <w:szCs w:val="24"/>
        </w:rPr>
        <w:t>PMH</w:t>
      </w:r>
    </w:p>
    <w:p w14:paraId="6D941E6C" w14:textId="77777777" w:rsidR="00032919" w:rsidRPr="00555DCF" w:rsidRDefault="00032919" w:rsidP="00032919">
      <w:pPr>
        <w:pStyle w:val="NoSpacing"/>
        <w:numPr>
          <w:ilvl w:val="0"/>
          <w:numId w:val="15"/>
        </w:numPr>
        <w:rPr>
          <w:sz w:val="24"/>
          <w:szCs w:val="24"/>
        </w:rPr>
      </w:pPr>
      <w:r w:rsidRPr="00555DCF">
        <w:rPr>
          <w:sz w:val="24"/>
          <w:szCs w:val="24"/>
        </w:rPr>
        <w:t>List of medications</w:t>
      </w:r>
    </w:p>
    <w:p w14:paraId="666005D9" w14:textId="77777777" w:rsidR="00032919" w:rsidRPr="00555DCF" w:rsidRDefault="00032919" w:rsidP="00032919">
      <w:pPr>
        <w:pStyle w:val="NoSpacing"/>
        <w:numPr>
          <w:ilvl w:val="0"/>
          <w:numId w:val="15"/>
        </w:numPr>
        <w:rPr>
          <w:sz w:val="24"/>
          <w:szCs w:val="24"/>
        </w:rPr>
      </w:pPr>
      <w:r w:rsidRPr="00555DCF">
        <w:rPr>
          <w:sz w:val="24"/>
          <w:szCs w:val="24"/>
        </w:rPr>
        <w:t xml:space="preserve">Weight/height/BMI </w:t>
      </w:r>
    </w:p>
    <w:p w14:paraId="0CCD5656" w14:textId="77777777" w:rsidR="00032919" w:rsidRPr="00555DCF" w:rsidRDefault="00032919" w:rsidP="00032919">
      <w:pPr>
        <w:pStyle w:val="NoSpacing"/>
        <w:numPr>
          <w:ilvl w:val="0"/>
          <w:numId w:val="15"/>
        </w:numPr>
        <w:rPr>
          <w:sz w:val="24"/>
          <w:szCs w:val="24"/>
        </w:rPr>
      </w:pPr>
      <w:r w:rsidRPr="00555DCF">
        <w:rPr>
          <w:sz w:val="24"/>
          <w:szCs w:val="24"/>
        </w:rPr>
        <w:t xml:space="preserve">Weight history </w:t>
      </w:r>
    </w:p>
    <w:p w14:paraId="3C75E86D" w14:textId="77777777" w:rsidR="00032919" w:rsidRPr="00555DCF" w:rsidRDefault="00032919" w:rsidP="00032919">
      <w:pPr>
        <w:pStyle w:val="NoSpacing"/>
        <w:numPr>
          <w:ilvl w:val="0"/>
          <w:numId w:val="15"/>
        </w:numPr>
        <w:rPr>
          <w:sz w:val="24"/>
          <w:szCs w:val="24"/>
        </w:rPr>
      </w:pPr>
      <w:r w:rsidRPr="00555DCF">
        <w:rPr>
          <w:sz w:val="24"/>
          <w:szCs w:val="24"/>
        </w:rPr>
        <w:t>Confirmed diagnosis</w:t>
      </w:r>
    </w:p>
    <w:p w14:paraId="12626682" w14:textId="77777777" w:rsidR="00032919" w:rsidRPr="00555DCF" w:rsidRDefault="00032919" w:rsidP="00032919">
      <w:pPr>
        <w:pStyle w:val="NoSpacing"/>
        <w:numPr>
          <w:ilvl w:val="0"/>
          <w:numId w:val="15"/>
        </w:numPr>
        <w:rPr>
          <w:sz w:val="24"/>
          <w:szCs w:val="24"/>
        </w:rPr>
      </w:pPr>
      <w:r w:rsidRPr="00555DCF">
        <w:rPr>
          <w:sz w:val="24"/>
          <w:szCs w:val="24"/>
        </w:rPr>
        <w:t>Previous relevant investigations and results</w:t>
      </w:r>
    </w:p>
    <w:p w14:paraId="64033296" w14:textId="77777777" w:rsidR="00032919" w:rsidRPr="00555DCF" w:rsidRDefault="00032919" w:rsidP="00032919">
      <w:pPr>
        <w:pStyle w:val="NoSpacing"/>
        <w:ind w:left="720"/>
        <w:rPr>
          <w:sz w:val="24"/>
          <w:szCs w:val="24"/>
        </w:rPr>
      </w:pPr>
    </w:p>
    <w:p w14:paraId="69B88885" w14:textId="77777777" w:rsidR="00032919" w:rsidRPr="00032919" w:rsidRDefault="00032919" w:rsidP="00032919">
      <w:pPr>
        <w:jc w:val="both"/>
        <w:rPr>
          <w:rFonts w:cstheme="minorHAnsi"/>
          <w:bCs/>
          <w:sz w:val="24"/>
          <w:szCs w:val="24"/>
        </w:rPr>
      </w:pPr>
      <w:r w:rsidRPr="00032919">
        <w:rPr>
          <w:rFonts w:cstheme="minorHAnsi"/>
          <w:bCs/>
          <w:sz w:val="24"/>
          <w:szCs w:val="24"/>
        </w:rPr>
        <w:t>If we feel that another dietetic service was more appropriate, we can offer guidance on signposting.</w:t>
      </w:r>
    </w:p>
    <w:p w14:paraId="67928E39" w14:textId="77777777" w:rsidR="0070173D" w:rsidRPr="00555DCF" w:rsidRDefault="00317496" w:rsidP="006D1922">
      <w:pPr>
        <w:jc w:val="both"/>
        <w:rPr>
          <w:rFonts w:cstheme="minorHAnsi"/>
          <w:sz w:val="24"/>
          <w:szCs w:val="24"/>
          <w:lang w:val="en"/>
        </w:rPr>
      </w:pPr>
      <w:r w:rsidRPr="00555DCF">
        <w:rPr>
          <w:rFonts w:cstheme="minorHAnsi"/>
          <w:sz w:val="24"/>
          <w:szCs w:val="24"/>
          <w:lang w:val="en"/>
        </w:rPr>
        <w:t>Some conditions (for example diabetes and coeliac disease) do not need</w:t>
      </w:r>
      <w:r w:rsidR="0070173D" w:rsidRPr="00555DCF">
        <w:rPr>
          <w:rFonts w:cstheme="minorHAnsi"/>
          <w:sz w:val="24"/>
          <w:szCs w:val="24"/>
          <w:lang w:val="en"/>
        </w:rPr>
        <w:t xml:space="preserve"> </w:t>
      </w:r>
      <w:r w:rsidR="00036BEE" w:rsidRPr="00555DCF">
        <w:rPr>
          <w:rFonts w:cstheme="minorHAnsi"/>
          <w:sz w:val="24"/>
          <w:szCs w:val="24"/>
          <w:lang w:val="en"/>
        </w:rPr>
        <w:t>a re</w:t>
      </w:r>
      <w:r w:rsidRPr="00555DCF">
        <w:rPr>
          <w:rFonts w:cstheme="minorHAnsi"/>
          <w:sz w:val="24"/>
          <w:szCs w:val="24"/>
          <w:lang w:val="en"/>
        </w:rPr>
        <w:t xml:space="preserve">-referral if the patient has already seen a dietitian. </w:t>
      </w:r>
    </w:p>
    <w:p w14:paraId="7C672121" w14:textId="77777777" w:rsidR="00317496" w:rsidRPr="00032919" w:rsidRDefault="00036BEE" w:rsidP="006D1922">
      <w:pPr>
        <w:jc w:val="both"/>
        <w:rPr>
          <w:rFonts w:cstheme="minorHAnsi"/>
          <w:b/>
          <w:bCs/>
          <w:sz w:val="24"/>
          <w:szCs w:val="24"/>
          <w:lang w:val="en"/>
        </w:rPr>
      </w:pPr>
      <w:r w:rsidRPr="00032919">
        <w:rPr>
          <w:rFonts w:cstheme="minorHAnsi"/>
          <w:b/>
          <w:bCs/>
          <w:sz w:val="24"/>
          <w:szCs w:val="24"/>
          <w:lang w:val="en"/>
        </w:rPr>
        <w:t>Please call our office on 0117 4145428</w:t>
      </w:r>
      <w:r w:rsidR="00317496" w:rsidRPr="00032919">
        <w:rPr>
          <w:rFonts w:cstheme="minorHAnsi"/>
          <w:b/>
          <w:bCs/>
          <w:sz w:val="24"/>
          <w:szCs w:val="24"/>
          <w:lang w:val="en"/>
        </w:rPr>
        <w:t xml:space="preserve"> if you would like to discuss a patient’s situation with us.</w:t>
      </w:r>
    </w:p>
    <w:p w14:paraId="3EE97B16" w14:textId="77777777" w:rsidR="00201029" w:rsidRPr="00555DCF" w:rsidRDefault="00317496" w:rsidP="006D1922">
      <w:pPr>
        <w:rPr>
          <w:rFonts w:cstheme="minorHAnsi"/>
          <w:b/>
          <w:bCs/>
          <w:sz w:val="24"/>
          <w:szCs w:val="24"/>
          <w:u w:val="single"/>
        </w:rPr>
      </w:pPr>
      <w:r w:rsidRPr="00FA42AA">
        <w:rPr>
          <w:rFonts w:cstheme="minorHAnsi"/>
          <w:b/>
          <w:bCs/>
          <w:color w:val="7030A0"/>
          <w:sz w:val="32"/>
          <w:szCs w:val="24"/>
          <w:lang w:val="en"/>
        </w:rPr>
        <w:t>Outpatient Services</w:t>
      </w:r>
      <w:r w:rsidR="00201029" w:rsidRPr="00FA42AA">
        <w:rPr>
          <w:rFonts w:cstheme="minorHAnsi"/>
          <w:b/>
          <w:bCs/>
          <w:color w:val="7030A0"/>
          <w:sz w:val="32"/>
          <w:szCs w:val="24"/>
          <w:lang w:val="en"/>
        </w:rPr>
        <w:t>:</w:t>
      </w:r>
      <w:r w:rsidRPr="00555DCF">
        <w:rPr>
          <w:rFonts w:cstheme="minorHAnsi"/>
          <w:sz w:val="24"/>
          <w:szCs w:val="24"/>
          <w:lang w:val="en"/>
        </w:rPr>
        <w:br/>
      </w:r>
      <w:r w:rsidR="00201029" w:rsidRPr="00555DCF">
        <w:rPr>
          <w:rFonts w:cstheme="minorHAnsi"/>
          <w:sz w:val="24"/>
          <w:szCs w:val="24"/>
        </w:rPr>
        <w:t>Outpatient clinics are run at Southmead Hospital Bristol and Cossham Hospital where patients can be treated for a range of conditions.</w:t>
      </w:r>
    </w:p>
    <w:p w14:paraId="525300A5" w14:textId="77777777" w:rsidR="00C24430" w:rsidRPr="00555DCF" w:rsidRDefault="00201029" w:rsidP="006D1922">
      <w:pPr>
        <w:numPr>
          <w:ilvl w:val="0"/>
          <w:numId w:val="3"/>
        </w:numPr>
        <w:jc w:val="both"/>
        <w:rPr>
          <w:rFonts w:cstheme="minorHAnsi"/>
          <w:sz w:val="24"/>
          <w:szCs w:val="24"/>
        </w:rPr>
      </w:pPr>
      <w:r w:rsidRPr="00555DCF">
        <w:rPr>
          <w:rFonts w:cstheme="minorHAnsi"/>
          <w:sz w:val="24"/>
          <w:szCs w:val="24"/>
        </w:rPr>
        <w:t xml:space="preserve">We accept referrals from </w:t>
      </w:r>
      <w:r w:rsidRPr="00555DCF">
        <w:rPr>
          <w:rFonts w:cstheme="minorHAnsi"/>
          <w:b/>
          <w:bCs/>
          <w:sz w:val="24"/>
          <w:szCs w:val="24"/>
        </w:rPr>
        <w:t xml:space="preserve">NBT Consultants </w:t>
      </w:r>
      <w:r w:rsidRPr="00555DCF">
        <w:rPr>
          <w:rFonts w:cstheme="minorHAnsi"/>
          <w:sz w:val="24"/>
          <w:szCs w:val="24"/>
        </w:rPr>
        <w:t xml:space="preserve">in </w:t>
      </w:r>
    </w:p>
    <w:p w14:paraId="785DD42F" w14:textId="77777777" w:rsidR="0048456D" w:rsidRPr="00555DCF" w:rsidRDefault="0048456D" w:rsidP="0048456D">
      <w:pPr>
        <w:pStyle w:val="NoSpacing"/>
        <w:numPr>
          <w:ilvl w:val="1"/>
          <w:numId w:val="3"/>
        </w:numPr>
        <w:rPr>
          <w:sz w:val="24"/>
          <w:szCs w:val="24"/>
        </w:rPr>
      </w:pPr>
      <w:r w:rsidRPr="00555DCF">
        <w:rPr>
          <w:sz w:val="24"/>
          <w:szCs w:val="24"/>
        </w:rPr>
        <w:t xml:space="preserve">Gastroenterology </w:t>
      </w:r>
      <w:r w:rsidRPr="00555DCF">
        <w:rPr>
          <w:i/>
          <w:iCs/>
          <w:sz w:val="24"/>
          <w:szCs w:val="24"/>
        </w:rPr>
        <w:t>(see below for more info)</w:t>
      </w:r>
    </w:p>
    <w:p w14:paraId="6AB9DD7F" w14:textId="495CA2EB" w:rsidR="00C24430" w:rsidRPr="00555DCF" w:rsidRDefault="00201029" w:rsidP="00C24430">
      <w:pPr>
        <w:pStyle w:val="NoSpacing"/>
        <w:numPr>
          <w:ilvl w:val="1"/>
          <w:numId w:val="3"/>
        </w:numPr>
        <w:rPr>
          <w:sz w:val="24"/>
          <w:szCs w:val="24"/>
        </w:rPr>
      </w:pPr>
      <w:r w:rsidRPr="00555DCF">
        <w:rPr>
          <w:sz w:val="24"/>
          <w:szCs w:val="24"/>
        </w:rPr>
        <w:t xml:space="preserve">Neurology </w:t>
      </w:r>
      <w:r w:rsidR="003942F2" w:rsidRPr="00555DCF">
        <w:rPr>
          <w:i/>
          <w:iCs/>
          <w:sz w:val="24"/>
          <w:szCs w:val="24"/>
        </w:rPr>
        <w:t>(see below for more info)</w:t>
      </w:r>
    </w:p>
    <w:p w14:paraId="62984481" w14:textId="77777777" w:rsidR="0048456D" w:rsidRPr="00555DCF" w:rsidRDefault="0048456D" w:rsidP="0048456D">
      <w:pPr>
        <w:pStyle w:val="NoSpacing"/>
        <w:numPr>
          <w:ilvl w:val="1"/>
          <w:numId w:val="3"/>
        </w:numPr>
        <w:rPr>
          <w:sz w:val="24"/>
          <w:szCs w:val="24"/>
        </w:rPr>
      </w:pPr>
      <w:r w:rsidRPr="00555DCF">
        <w:rPr>
          <w:sz w:val="24"/>
          <w:szCs w:val="24"/>
        </w:rPr>
        <w:t xml:space="preserve">Chronic Fatigue Syndrome </w:t>
      </w:r>
      <w:r w:rsidRPr="00555DCF">
        <w:rPr>
          <w:i/>
          <w:iCs/>
          <w:sz w:val="24"/>
          <w:szCs w:val="24"/>
        </w:rPr>
        <w:t>(see below for more info)</w:t>
      </w:r>
    </w:p>
    <w:p w14:paraId="3B236C42" w14:textId="77777777" w:rsidR="0048456D" w:rsidRPr="00555DCF" w:rsidRDefault="0048456D" w:rsidP="0048456D">
      <w:pPr>
        <w:pStyle w:val="NoSpacing"/>
        <w:numPr>
          <w:ilvl w:val="1"/>
          <w:numId w:val="3"/>
        </w:numPr>
        <w:rPr>
          <w:sz w:val="24"/>
          <w:szCs w:val="24"/>
        </w:rPr>
      </w:pPr>
      <w:r w:rsidRPr="00555DCF">
        <w:rPr>
          <w:sz w:val="24"/>
          <w:szCs w:val="24"/>
        </w:rPr>
        <w:t xml:space="preserve">Metabolics </w:t>
      </w:r>
      <w:r w:rsidRPr="00555DCF">
        <w:rPr>
          <w:i/>
          <w:iCs/>
          <w:sz w:val="24"/>
          <w:szCs w:val="24"/>
        </w:rPr>
        <w:t>(see below for more info)</w:t>
      </w:r>
    </w:p>
    <w:p w14:paraId="295363D5" w14:textId="77777777" w:rsidR="0048456D" w:rsidRPr="00555DCF" w:rsidRDefault="0048456D" w:rsidP="0048456D">
      <w:pPr>
        <w:pStyle w:val="NoSpacing"/>
        <w:numPr>
          <w:ilvl w:val="1"/>
          <w:numId w:val="3"/>
        </w:numPr>
        <w:rPr>
          <w:i/>
          <w:iCs/>
          <w:sz w:val="24"/>
          <w:szCs w:val="24"/>
        </w:rPr>
      </w:pPr>
      <w:r w:rsidRPr="00555DCF">
        <w:rPr>
          <w:sz w:val="24"/>
          <w:szCs w:val="24"/>
        </w:rPr>
        <w:t xml:space="preserve">Oncology </w:t>
      </w:r>
      <w:r w:rsidRPr="00555DCF">
        <w:rPr>
          <w:i/>
          <w:iCs/>
          <w:sz w:val="24"/>
          <w:szCs w:val="24"/>
        </w:rPr>
        <w:t>(see below for more info)</w:t>
      </w:r>
    </w:p>
    <w:p w14:paraId="7DE4907F" w14:textId="77777777" w:rsidR="0048456D" w:rsidRPr="00555DCF" w:rsidRDefault="0048456D" w:rsidP="0048456D">
      <w:pPr>
        <w:pStyle w:val="NoSpacing"/>
        <w:numPr>
          <w:ilvl w:val="1"/>
          <w:numId w:val="3"/>
        </w:numPr>
        <w:rPr>
          <w:i/>
          <w:iCs/>
          <w:sz w:val="24"/>
          <w:szCs w:val="24"/>
        </w:rPr>
      </w:pPr>
      <w:r w:rsidRPr="00555DCF">
        <w:rPr>
          <w:sz w:val="24"/>
          <w:szCs w:val="24"/>
        </w:rPr>
        <w:t xml:space="preserve">Renal </w:t>
      </w:r>
      <w:r w:rsidRPr="00555DCF">
        <w:rPr>
          <w:i/>
          <w:iCs/>
          <w:sz w:val="24"/>
          <w:szCs w:val="24"/>
        </w:rPr>
        <w:t>(see below for more info)</w:t>
      </w:r>
    </w:p>
    <w:p w14:paraId="19EDF75B" w14:textId="45B838A9" w:rsidR="00C24430" w:rsidRPr="00555DCF" w:rsidRDefault="00201029" w:rsidP="00C24430">
      <w:pPr>
        <w:pStyle w:val="NoSpacing"/>
        <w:numPr>
          <w:ilvl w:val="1"/>
          <w:numId w:val="3"/>
        </w:numPr>
        <w:rPr>
          <w:sz w:val="24"/>
          <w:szCs w:val="24"/>
        </w:rPr>
      </w:pPr>
      <w:r w:rsidRPr="00555DCF">
        <w:rPr>
          <w:sz w:val="24"/>
          <w:szCs w:val="24"/>
        </w:rPr>
        <w:t>Immunology/Allergy</w:t>
      </w:r>
    </w:p>
    <w:p w14:paraId="182DA503" w14:textId="26E895AC" w:rsidR="00C24430" w:rsidRPr="00555DCF" w:rsidRDefault="00201029" w:rsidP="00C24430">
      <w:pPr>
        <w:pStyle w:val="NoSpacing"/>
        <w:numPr>
          <w:ilvl w:val="1"/>
          <w:numId w:val="3"/>
        </w:numPr>
        <w:rPr>
          <w:sz w:val="24"/>
          <w:szCs w:val="24"/>
        </w:rPr>
      </w:pPr>
      <w:r w:rsidRPr="00555DCF">
        <w:rPr>
          <w:sz w:val="24"/>
          <w:szCs w:val="24"/>
        </w:rPr>
        <w:t xml:space="preserve">Dermatology </w:t>
      </w:r>
    </w:p>
    <w:p w14:paraId="2D825859" w14:textId="631A95D1" w:rsidR="00C24430" w:rsidRPr="00555DCF" w:rsidRDefault="00201029" w:rsidP="00C24430">
      <w:pPr>
        <w:pStyle w:val="NoSpacing"/>
        <w:numPr>
          <w:ilvl w:val="1"/>
          <w:numId w:val="3"/>
        </w:numPr>
        <w:rPr>
          <w:sz w:val="24"/>
          <w:szCs w:val="24"/>
        </w:rPr>
      </w:pPr>
      <w:r w:rsidRPr="00555DCF">
        <w:rPr>
          <w:sz w:val="24"/>
          <w:szCs w:val="24"/>
        </w:rPr>
        <w:t>Colorectal/UGI Surgery</w:t>
      </w:r>
    </w:p>
    <w:p w14:paraId="30E3FEB6" w14:textId="77777777" w:rsidR="0048456D" w:rsidRPr="00555DCF" w:rsidRDefault="0048456D" w:rsidP="0048456D">
      <w:pPr>
        <w:pStyle w:val="NoSpacing"/>
        <w:ind w:left="1440"/>
        <w:rPr>
          <w:i/>
          <w:iCs/>
          <w:sz w:val="24"/>
          <w:szCs w:val="24"/>
        </w:rPr>
      </w:pPr>
    </w:p>
    <w:p w14:paraId="3E680212" w14:textId="77777777" w:rsidR="00522B69" w:rsidRPr="00555DCF" w:rsidRDefault="00201029" w:rsidP="006D1922">
      <w:pPr>
        <w:numPr>
          <w:ilvl w:val="0"/>
          <w:numId w:val="3"/>
        </w:numPr>
        <w:jc w:val="both"/>
        <w:rPr>
          <w:rFonts w:cstheme="minorHAnsi"/>
          <w:sz w:val="24"/>
          <w:szCs w:val="24"/>
        </w:rPr>
      </w:pPr>
      <w:r w:rsidRPr="00555DCF">
        <w:rPr>
          <w:rFonts w:cstheme="minorHAnsi"/>
          <w:sz w:val="24"/>
          <w:szCs w:val="24"/>
        </w:rPr>
        <w:t xml:space="preserve">We also accept </w:t>
      </w:r>
      <w:r w:rsidRPr="00555DCF">
        <w:rPr>
          <w:rFonts w:cstheme="minorHAnsi"/>
          <w:b/>
          <w:bCs/>
          <w:sz w:val="24"/>
          <w:szCs w:val="24"/>
        </w:rPr>
        <w:t>referrals from GPs</w:t>
      </w:r>
      <w:r w:rsidRPr="00555DCF">
        <w:rPr>
          <w:rFonts w:cstheme="minorHAnsi"/>
          <w:sz w:val="24"/>
          <w:szCs w:val="24"/>
        </w:rPr>
        <w:t xml:space="preserve"> for</w:t>
      </w:r>
    </w:p>
    <w:p w14:paraId="5DF84BB4" w14:textId="5C12094E" w:rsidR="005E416A" w:rsidRPr="00555DCF" w:rsidRDefault="00522B69" w:rsidP="00522B69">
      <w:pPr>
        <w:pStyle w:val="NoSpacing"/>
        <w:numPr>
          <w:ilvl w:val="1"/>
          <w:numId w:val="3"/>
        </w:numPr>
        <w:rPr>
          <w:sz w:val="24"/>
          <w:szCs w:val="24"/>
        </w:rPr>
      </w:pPr>
      <w:r w:rsidRPr="00555DCF">
        <w:rPr>
          <w:sz w:val="24"/>
          <w:szCs w:val="24"/>
        </w:rPr>
        <w:t>P</w:t>
      </w:r>
      <w:r w:rsidR="00201029" w:rsidRPr="00555DCF">
        <w:rPr>
          <w:sz w:val="24"/>
          <w:szCs w:val="24"/>
        </w:rPr>
        <w:t xml:space="preserve">atients with an active, diagnosed gastrointestinal condition </w:t>
      </w:r>
    </w:p>
    <w:p w14:paraId="5F0AA829" w14:textId="223A006A" w:rsidR="00201029" w:rsidRDefault="005E416A" w:rsidP="00522B69">
      <w:pPr>
        <w:pStyle w:val="NoSpacing"/>
        <w:numPr>
          <w:ilvl w:val="2"/>
          <w:numId w:val="3"/>
        </w:numPr>
        <w:rPr>
          <w:sz w:val="24"/>
          <w:szCs w:val="24"/>
        </w:rPr>
      </w:pPr>
      <w:r w:rsidRPr="00555DCF">
        <w:rPr>
          <w:sz w:val="24"/>
          <w:szCs w:val="24"/>
        </w:rPr>
        <w:t>F</w:t>
      </w:r>
      <w:r w:rsidR="00201029" w:rsidRPr="00555DCF">
        <w:rPr>
          <w:sz w:val="24"/>
          <w:szCs w:val="24"/>
        </w:rPr>
        <w:t>or patients known to the BRI GI team, please refer them to the BRI Dietitians.</w:t>
      </w:r>
    </w:p>
    <w:p w14:paraId="262EA246" w14:textId="7935AE80" w:rsidR="00F502DE" w:rsidRPr="004B48B4" w:rsidRDefault="00F502DE" w:rsidP="00522B69">
      <w:pPr>
        <w:pStyle w:val="NoSpacing"/>
        <w:numPr>
          <w:ilvl w:val="2"/>
          <w:numId w:val="3"/>
        </w:numPr>
        <w:rPr>
          <w:sz w:val="24"/>
          <w:szCs w:val="24"/>
        </w:rPr>
      </w:pPr>
      <w:r w:rsidRPr="004B48B4">
        <w:rPr>
          <w:sz w:val="24"/>
          <w:szCs w:val="24"/>
        </w:rPr>
        <w:lastRenderedPageBreak/>
        <w:t xml:space="preserve">For irritable bowel syndrome (IBS), please refer to your community dietetic team. </w:t>
      </w:r>
    </w:p>
    <w:p w14:paraId="421FF035" w14:textId="1E7670F2" w:rsidR="00522B69" w:rsidRPr="00555DCF" w:rsidRDefault="00522B69" w:rsidP="00522B69">
      <w:pPr>
        <w:pStyle w:val="NoSpacing"/>
        <w:numPr>
          <w:ilvl w:val="1"/>
          <w:numId w:val="3"/>
        </w:numPr>
        <w:rPr>
          <w:sz w:val="24"/>
          <w:szCs w:val="24"/>
        </w:rPr>
      </w:pPr>
      <w:r w:rsidRPr="00555DCF">
        <w:rPr>
          <w:sz w:val="24"/>
          <w:szCs w:val="24"/>
        </w:rPr>
        <w:t>Patients with a neurological condition (</w:t>
      </w:r>
      <w:r w:rsidRPr="00555DCF">
        <w:rPr>
          <w:i/>
          <w:iCs/>
          <w:sz w:val="24"/>
          <w:szCs w:val="24"/>
        </w:rPr>
        <w:t>see below info</w:t>
      </w:r>
      <w:r w:rsidRPr="00555DCF">
        <w:rPr>
          <w:sz w:val="24"/>
          <w:szCs w:val="24"/>
        </w:rPr>
        <w:t>)</w:t>
      </w:r>
    </w:p>
    <w:p w14:paraId="40D7B8C6" w14:textId="59150F43" w:rsidR="00522B69" w:rsidRDefault="00BD54FF" w:rsidP="00522B69">
      <w:pPr>
        <w:pStyle w:val="NoSpacing"/>
        <w:numPr>
          <w:ilvl w:val="1"/>
          <w:numId w:val="3"/>
        </w:numPr>
        <w:rPr>
          <w:sz w:val="24"/>
          <w:szCs w:val="24"/>
        </w:rPr>
      </w:pPr>
      <w:r w:rsidRPr="00555DCF">
        <w:rPr>
          <w:sz w:val="24"/>
          <w:szCs w:val="24"/>
        </w:rPr>
        <w:t>Patients with a cancer diagnosis (</w:t>
      </w:r>
      <w:r w:rsidRPr="00555DCF">
        <w:rPr>
          <w:i/>
          <w:iCs/>
          <w:sz w:val="24"/>
          <w:szCs w:val="24"/>
        </w:rPr>
        <w:t>see below info</w:t>
      </w:r>
      <w:r w:rsidRPr="00555DCF">
        <w:rPr>
          <w:sz w:val="24"/>
          <w:szCs w:val="24"/>
        </w:rPr>
        <w:t>)</w:t>
      </w:r>
    </w:p>
    <w:p w14:paraId="4E93C5E1" w14:textId="761F6866" w:rsidR="00BD54FF" w:rsidRDefault="00691047" w:rsidP="00E972F5">
      <w:pPr>
        <w:pStyle w:val="NoSpacing"/>
        <w:numPr>
          <w:ilvl w:val="1"/>
          <w:numId w:val="3"/>
        </w:numPr>
        <w:rPr>
          <w:sz w:val="24"/>
          <w:szCs w:val="24"/>
        </w:rPr>
      </w:pPr>
      <w:r w:rsidRPr="00691047">
        <w:rPr>
          <w:sz w:val="24"/>
          <w:szCs w:val="24"/>
        </w:rPr>
        <w:t xml:space="preserve">Patients with kidney disease once under an NBT consultant </w:t>
      </w:r>
      <w:r w:rsidRPr="00555DCF">
        <w:rPr>
          <w:sz w:val="24"/>
          <w:szCs w:val="24"/>
        </w:rPr>
        <w:t>(</w:t>
      </w:r>
      <w:r w:rsidRPr="00555DCF">
        <w:rPr>
          <w:i/>
          <w:iCs/>
          <w:sz w:val="24"/>
          <w:szCs w:val="24"/>
        </w:rPr>
        <w:t>see below info</w:t>
      </w:r>
      <w:r w:rsidRPr="00555DCF">
        <w:rPr>
          <w:sz w:val="24"/>
          <w:szCs w:val="24"/>
        </w:rPr>
        <w:t>)</w:t>
      </w:r>
    </w:p>
    <w:p w14:paraId="2DF517ED" w14:textId="77777777" w:rsidR="00032919" w:rsidRDefault="00032919" w:rsidP="00032919">
      <w:pPr>
        <w:pStyle w:val="NoSpacing"/>
        <w:ind w:left="1440"/>
        <w:rPr>
          <w:sz w:val="24"/>
          <w:szCs w:val="24"/>
        </w:rPr>
      </w:pPr>
    </w:p>
    <w:p w14:paraId="31892A10" w14:textId="77777777" w:rsidR="00032919" w:rsidRPr="00555DCF" w:rsidRDefault="00032919" w:rsidP="00032919">
      <w:pPr>
        <w:numPr>
          <w:ilvl w:val="0"/>
          <w:numId w:val="3"/>
        </w:numPr>
        <w:jc w:val="both"/>
        <w:rPr>
          <w:rFonts w:cstheme="minorHAnsi"/>
          <w:sz w:val="24"/>
          <w:szCs w:val="24"/>
        </w:rPr>
      </w:pPr>
      <w:r w:rsidRPr="00555DCF">
        <w:rPr>
          <w:rFonts w:cstheme="minorHAnsi"/>
          <w:sz w:val="24"/>
          <w:szCs w:val="24"/>
        </w:rPr>
        <w:t>Referrals may also be accepted from other professionals. See speciality specific information for further guidance.</w:t>
      </w:r>
    </w:p>
    <w:p w14:paraId="36E22920" w14:textId="3A320F13" w:rsidR="00201029" w:rsidRPr="00555DCF" w:rsidRDefault="00201029" w:rsidP="006D1922">
      <w:pPr>
        <w:numPr>
          <w:ilvl w:val="0"/>
          <w:numId w:val="3"/>
        </w:numPr>
        <w:jc w:val="both"/>
        <w:rPr>
          <w:rFonts w:cstheme="minorHAnsi"/>
          <w:sz w:val="24"/>
          <w:szCs w:val="24"/>
        </w:rPr>
      </w:pPr>
      <w:r w:rsidRPr="00555DCF">
        <w:rPr>
          <w:rFonts w:cstheme="minorHAnsi"/>
          <w:sz w:val="24"/>
          <w:szCs w:val="24"/>
        </w:rPr>
        <w:t>Patients will be offered a face-face, telephone or video consultation where appropriate. We do not offer home or prison visits.</w:t>
      </w:r>
    </w:p>
    <w:p w14:paraId="2D791C31" w14:textId="1589C85C" w:rsidR="00522B69" w:rsidRPr="00555DCF" w:rsidRDefault="00522B69" w:rsidP="006D1922">
      <w:pPr>
        <w:numPr>
          <w:ilvl w:val="0"/>
          <w:numId w:val="3"/>
        </w:numPr>
        <w:jc w:val="both"/>
        <w:rPr>
          <w:rFonts w:cstheme="minorHAnsi"/>
          <w:sz w:val="24"/>
          <w:szCs w:val="24"/>
        </w:rPr>
      </w:pPr>
      <w:r w:rsidRPr="00555DCF">
        <w:rPr>
          <w:rFonts w:cstheme="minorHAnsi"/>
          <w:sz w:val="24"/>
          <w:szCs w:val="24"/>
        </w:rPr>
        <w:t>For information on other community teams including diabetes, weight management and eating disorders please see information below.</w:t>
      </w:r>
    </w:p>
    <w:p w14:paraId="186D17D8" w14:textId="2AAB0EAF" w:rsidR="00201029" w:rsidRPr="00555DCF" w:rsidRDefault="0048456D" w:rsidP="006D1922">
      <w:pPr>
        <w:jc w:val="both"/>
        <w:rPr>
          <w:rFonts w:cstheme="minorHAnsi"/>
          <w:b/>
          <w:bCs/>
          <w:color w:val="7030A0"/>
          <w:sz w:val="28"/>
          <w:szCs w:val="28"/>
        </w:rPr>
      </w:pPr>
      <w:r w:rsidRPr="00555DCF">
        <w:rPr>
          <w:rFonts w:cstheme="minorHAnsi"/>
          <w:b/>
          <w:bCs/>
          <w:color w:val="7030A0"/>
          <w:sz w:val="28"/>
          <w:szCs w:val="28"/>
        </w:rPr>
        <w:t>F</w:t>
      </w:r>
      <w:r w:rsidR="00201029" w:rsidRPr="00555DCF">
        <w:rPr>
          <w:rFonts w:cstheme="minorHAnsi"/>
          <w:b/>
          <w:bCs/>
          <w:color w:val="7030A0"/>
          <w:sz w:val="28"/>
          <w:szCs w:val="28"/>
        </w:rPr>
        <w:t>or Gastroenterology Referrals:</w:t>
      </w:r>
    </w:p>
    <w:p w14:paraId="2C386D05" w14:textId="200F65EE" w:rsidR="00201029" w:rsidRPr="00555DCF" w:rsidRDefault="00201029" w:rsidP="006D1922">
      <w:pPr>
        <w:jc w:val="both"/>
        <w:rPr>
          <w:rFonts w:cstheme="minorHAnsi"/>
          <w:sz w:val="24"/>
          <w:szCs w:val="24"/>
        </w:rPr>
      </w:pPr>
      <w:r w:rsidRPr="00555DCF">
        <w:rPr>
          <w:rFonts w:cstheme="minorHAnsi"/>
          <w:sz w:val="24"/>
          <w:szCs w:val="24"/>
        </w:rPr>
        <w:t xml:space="preserve">Dietary advice is evidenced to help the following </w:t>
      </w:r>
      <w:r w:rsidR="005E416A" w:rsidRPr="00555DCF">
        <w:rPr>
          <w:rFonts w:cstheme="minorHAnsi"/>
          <w:sz w:val="24"/>
          <w:szCs w:val="24"/>
        </w:rPr>
        <w:t>conditions: -</w:t>
      </w:r>
    </w:p>
    <w:p w14:paraId="0CBC2BBD" w14:textId="77777777" w:rsidR="005E416A" w:rsidRPr="00555DCF" w:rsidRDefault="00201029" w:rsidP="005E416A">
      <w:pPr>
        <w:pStyle w:val="NoSpacing"/>
        <w:numPr>
          <w:ilvl w:val="0"/>
          <w:numId w:val="16"/>
        </w:numPr>
        <w:rPr>
          <w:sz w:val="24"/>
          <w:szCs w:val="24"/>
        </w:rPr>
      </w:pPr>
      <w:r w:rsidRPr="00555DCF">
        <w:rPr>
          <w:sz w:val="24"/>
          <w:szCs w:val="24"/>
        </w:rPr>
        <w:t>IBS</w:t>
      </w:r>
    </w:p>
    <w:p w14:paraId="0D0EFB89" w14:textId="77777777" w:rsidR="005E416A" w:rsidRPr="00555DCF" w:rsidRDefault="005E416A" w:rsidP="005E416A">
      <w:pPr>
        <w:pStyle w:val="NoSpacing"/>
        <w:numPr>
          <w:ilvl w:val="1"/>
          <w:numId w:val="16"/>
        </w:numPr>
        <w:rPr>
          <w:sz w:val="24"/>
          <w:szCs w:val="24"/>
        </w:rPr>
      </w:pPr>
      <w:r w:rsidRPr="00555DCF">
        <w:rPr>
          <w:sz w:val="24"/>
          <w:szCs w:val="24"/>
        </w:rPr>
        <w:t>P</w:t>
      </w:r>
      <w:r w:rsidR="00201029" w:rsidRPr="00555DCF">
        <w:rPr>
          <w:sz w:val="24"/>
          <w:szCs w:val="24"/>
        </w:rPr>
        <w:t xml:space="preserve">lease ensure the patient is given a confirmed diagnosis. </w:t>
      </w:r>
    </w:p>
    <w:p w14:paraId="7C94C6AE" w14:textId="77777777" w:rsidR="005E416A" w:rsidRPr="00555DCF" w:rsidRDefault="00201029" w:rsidP="005E416A">
      <w:pPr>
        <w:pStyle w:val="NoSpacing"/>
        <w:numPr>
          <w:ilvl w:val="1"/>
          <w:numId w:val="16"/>
        </w:numPr>
        <w:rPr>
          <w:sz w:val="24"/>
          <w:szCs w:val="24"/>
        </w:rPr>
      </w:pPr>
      <w:r w:rsidRPr="00555DCF">
        <w:rPr>
          <w:sz w:val="24"/>
          <w:szCs w:val="24"/>
        </w:rPr>
        <w:t xml:space="preserve">Please rule out other GI conditions including a recent a-tTG and await any pending results before the referral is made. </w:t>
      </w:r>
    </w:p>
    <w:p w14:paraId="0BBB3176" w14:textId="12D47B8F" w:rsidR="00201029" w:rsidRPr="00555DCF" w:rsidRDefault="00201029" w:rsidP="005E416A">
      <w:pPr>
        <w:pStyle w:val="NoSpacing"/>
        <w:numPr>
          <w:ilvl w:val="1"/>
          <w:numId w:val="16"/>
        </w:numPr>
        <w:rPr>
          <w:sz w:val="24"/>
          <w:szCs w:val="24"/>
        </w:rPr>
      </w:pPr>
      <w:r w:rsidRPr="00555DCF">
        <w:rPr>
          <w:b/>
          <w:bCs/>
          <w:sz w:val="24"/>
          <w:szCs w:val="24"/>
        </w:rPr>
        <w:t>Please do not advise the patient to follow a low FODMAP diet without dietitian advice.</w:t>
      </w:r>
    </w:p>
    <w:p w14:paraId="27652AC6" w14:textId="77777777" w:rsidR="00201029" w:rsidRPr="00555DCF" w:rsidRDefault="00201029" w:rsidP="005E416A">
      <w:pPr>
        <w:pStyle w:val="NoSpacing"/>
        <w:numPr>
          <w:ilvl w:val="1"/>
          <w:numId w:val="16"/>
        </w:numPr>
        <w:rPr>
          <w:sz w:val="24"/>
          <w:szCs w:val="24"/>
        </w:rPr>
      </w:pPr>
      <w:r w:rsidRPr="00555DCF">
        <w:rPr>
          <w:sz w:val="24"/>
          <w:szCs w:val="24"/>
        </w:rPr>
        <w:t xml:space="preserve">If the patient has tried the low FODMAP diet in the past with a dietitian, and it has been ineffective, please do </w:t>
      </w:r>
      <w:r w:rsidRPr="00555DCF">
        <w:rPr>
          <w:sz w:val="24"/>
          <w:szCs w:val="24"/>
          <w:u w:val="single"/>
        </w:rPr>
        <w:t>not</w:t>
      </w:r>
      <w:r w:rsidRPr="00555DCF">
        <w:rPr>
          <w:sz w:val="24"/>
          <w:szCs w:val="24"/>
        </w:rPr>
        <w:t xml:space="preserve"> re-refer. </w:t>
      </w:r>
    </w:p>
    <w:p w14:paraId="6F26BC87" w14:textId="77777777" w:rsidR="00201029" w:rsidRPr="00555DCF" w:rsidRDefault="00201029" w:rsidP="005E416A">
      <w:pPr>
        <w:pStyle w:val="NoSpacing"/>
        <w:numPr>
          <w:ilvl w:val="0"/>
          <w:numId w:val="16"/>
        </w:numPr>
        <w:rPr>
          <w:sz w:val="24"/>
          <w:szCs w:val="24"/>
        </w:rPr>
      </w:pPr>
      <w:r w:rsidRPr="00555DCF">
        <w:rPr>
          <w:sz w:val="24"/>
          <w:szCs w:val="24"/>
        </w:rPr>
        <w:t>IBD</w:t>
      </w:r>
    </w:p>
    <w:p w14:paraId="3C1B75A3" w14:textId="77777777" w:rsidR="00201029" w:rsidRPr="00555DCF" w:rsidRDefault="00201029" w:rsidP="005E416A">
      <w:pPr>
        <w:pStyle w:val="NoSpacing"/>
        <w:numPr>
          <w:ilvl w:val="0"/>
          <w:numId w:val="16"/>
        </w:numPr>
        <w:rPr>
          <w:sz w:val="24"/>
          <w:szCs w:val="24"/>
        </w:rPr>
      </w:pPr>
      <w:r w:rsidRPr="00555DCF">
        <w:rPr>
          <w:sz w:val="24"/>
          <w:szCs w:val="24"/>
        </w:rPr>
        <w:t>Liver disease</w:t>
      </w:r>
    </w:p>
    <w:p w14:paraId="047CCBF4" w14:textId="77777777" w:rsidR="00201029" w:rsidRPr="00555DCF" w:rsidRDefault="00201029" w:rsidP="005E416A">
      <w:pPr>
        <w:pStyle w:val="NoSpacing"/>
        <w:numPr>
          <w:ilvl w:val="0"/>
          <w:numId w:val="16"/>
        </w:numPr>
        <w:rPr>
          <w:sz w:val="24"/>
          <w:szCs w:val="24"/>
        </w:rPr>
      </w:pPr>
      <w:r w:rsidRPr="00555DCF">
        <w:rPr>
          <w:sz w:val="24"/>
          <w:szCs w:val="24"/>
        </w:rPr>
        <w:t>Chronic Pancreatitis/Pancreatic Exocrine Insufficiency</w:t>
      </w:r>
    </w:p>
    <w:p w14:paraId="42A90C08" w14:textId="77777777" w:rsidR="00201029" w:rsidRPr="00555DCF" w:rsidRDefault="00201029" w:rsidP="005E416A">
      <w:pPr>
        <w:pStyle w:val="NoSpacing"/>
        <w:numPr>
          <w:ilvl w:val="0"/>
          <w:numId w:val="16"/>
        </w:numPr>
        <w:rPr>
          <w:sz w:val="24"/>
          <w:szCs w:val="24"/>
        </w:rPr>
      </w:pPr>
      <w:r w:rsidRPr="00555DCF">
        <w:rPr>
          <w:sz w:val="24"/>
          <w:szCs w:val="24"/>
        </w:rPr>
        <w:t>Oesophageal or duodenal strictures and stents (send referral to NBT Macmillan dietitian unless benign)</w:t>
      </w:r>
    </w:p>
    <w:p w14:paraId="6A3F782E" w14:textId="77777777" w:rsidR="00201029" w:rsidRPr="00555DCF" w:rsidRDefault="00201029" w:rsidP="005E416A">
      <w:pPr>
        <w:pStyle w:val="NoSpacing"/>
        <w:numPr>
          <w:ilvl w:val="0"/>
          <w:numId w:val="16"/>
        </w:numPr>
        <w:rPr>
          <w:sz w:val="24"/>
          <w:szCs w:val="24"/>
        </w:rPr>
      </w:pPr>
      <w:r w:rsidRPr="00555DCF">
        <w:rPr>
          <w:sz w:val="24"/>
          <w:szCs w:val="24"/>
        </w:rPr>
        <w:t>Oesophageal dysmotility/Barrett's oesophagus</w:t>
      </w:r>
    </w:p>
    <w:p w14:paraId="1FF25E6B" w14:textId="77777777" w:rsidR="00201029" w:rsidRPr="00555DCF" w:rsidRDefault="00201029" w:rsidP="005E416A">
      <w:pPr>
        <w:pStyle w:val="NoSpacing"/>
        <w:numPr>
          <w:ilvl w:val="0"/>
          <w:numId w:val="16"/>
        </w:numPr>
        <w:rPr>
          <w:sz w:val="24"/>
          <w:szCs w:val="24"/>
        </w:rPr>
      </w:pPr>
      <w:r w:rsidRPr="00555DCF">
        <w:rPr>
          <w:sz w:val="24"/>
          <w:szCs w:val="24"/>
        </w:rPr>
        <w:t>Pancreatic cancer (send referral to NBT Macmillan dietitian)</w:t>
      </w:r>
    </w:p>
    <w:p w14:paraId="301D0351" w14:textId="77777777" w:rsidR="00201029" w:rsidRPr="00555DCF" w:rsidRDefault="00201029" w:rsidP="005E416A">
      <w:pPr>
        <w:pStyle w:val="NoSpacing"/>
        <w:numPr>
          <w:ilvl w:val="0"/>
          <w:numId w:val="16"/>
        </w:numPr>
        <w:rPr>
          <w:sz w:val="24"/>
          <w:szCs w:val="24"/>
        </w:rPr>
      </w:pPr>
      <w:r w:rsidRPr="00555DCF">
        <w:rPr>
          <w:sz w:val="24"/>
          <w:szCs w:val="24"/>
        </w:rPr>
        <w:t>Achalasia</w:t>
      </w:r>
    </w:p>
    <w:p w14:paraId="4100BB72" w14:textId="77777777" w:rsidR="005E416A" w:rsidRPr="00555DCF" w:rsidRDefault="00201029" w:rsidP="005E416A">
      <w:pPr>
        <w:pStyle w:val="NoSpacing"/>
        <w:numPr>
          <w:ilvl w:val="0"/>
          <w:numId w:val="16"/>
        </w:numPr>
        <w:rPr>
          <w:sz w:val="24"/>
          <w:szCs w:val="24"/>
        </w:rPr>
      </w:pPr>
      <w:r w:rsidRPr="00555DCF">
        <w:rPr>
          <w:sz w:val="24"/>
          <w:szCs w:val="24"/>
        </w:rPr>
        <w:t xml:space="preserve">Gastroparesis </w:t>
      </w:r>
    </w:p>
    <w:p w14:paraId="64150919" w14:textId="12A1F0B7" w:rsidR="00201029" w:rsidRPr="00555DCF" w:rsidRDefault="005E416A" w:rsidP="005E416A">
      <w:pPr>
        <w:pStyle w:val="NoSpacing"/>
        <w:numPr>
          <w:ilvl w:val="1"/>
          <w:numId w:val="16"/>
        </w:numPr>
        <w:rPr>
          <w:sz w:val="24"/>
          <w:szCs w:val="24"/>
        </w:rPr>
      </w:pPr>
      <w:r w:rsidRPr="00555DCF">
        <w:rPr>
          <w:sz w:val="24"/>
          <w:szCs w:val="24"/>
        </w:rPr>
        <w:t>I</w:t>
      </w:r>
      <w:r w:rsidR="00201029" w:rsidRPr="00555DCF">
        <w:rPr>
          <w:sz w:val="24"/>
          <w:szCs w:val="24"/>
        </w:rPr>
        <w:t>f diabetes, please optimise blood glucose control prior to referral</w:t>
      </w:r>
    </w:p>
    <w:p w14:paraId="699C6229" w14:textId="6D12084F" w:rsidR="005E416A" w:rsidRPr="00555DCF" w:rsidRDefault="005E416A" w:rsidP="005E416A">
      <w:pPr>
        <w:pStyle w:val="NoSpacing"/>
        <w:numPr>
          <w:ilvl w:val="1"/>
          <w:numId w:val="16"/>
        </w:numPr>
        <w:rPr>
          <w:sz w:val="24"/>
          <w:szCs w:val="24"/>
        </w:rPr>
      </w:pPr>
      <w:r w:rsidRPr="00555DCF">
        <w:rPr>
          <w:sz w:val="24"/>
          <w:szCs w:val="24"/>
        </w:rPr>
        <w:t xml:space="preserve">See below for idiopathic gastroparesis </w:t>
      </w:r>
    </w:p>
    <w:p w14:paraId="160AF9A6" w14:textId="77777777" w:rsidR="00201029" w:rsidRPr="00555DCF" w:rsidRDefault="00201029" w:rsidP="005E416A">
      <w:pPr>
        <w:pStyle w:val="NoSpacing"/>
        <w:numPr>
          <w:ilvl w:val="0"/>
          <w:numId w:val="16"/>
        </w:numPr>
        <w:rPr>
          <w:sz w:val="24"/>
          <w:szCs w:val="24"/>
        </w:rPr>
      </w:pPr>
      <w:r w:rsidRPr="00555DCF">
        <w:rPr>
          <w:sz w:val="24"/>
          <w:szCs w:val="24"/>
        </w:rPr>
        <w:t>Dumping syndrome</w:t>
      </w:r>
    </w:p>
    <w:p w14:paraId="3E18088E" w14:textId="77777777" w:rsidR="00201029" w:rsidRPr="00555DCF" w:rsidRDefault="00201029" w:rsidP="005E416A">
      <w:pPr>
        <w:pStyle w:val="NoSpacing"/>
        <w:numPr>
          <w:ilvl w:val="0"/>
          <w:numId w:val="16"/>
        </w:numPr>
        <w:rPr>
          <w:sz w:val="24"/>
          <w:szCs w:val="24"/>
        </w:rPr>
      </w:pPr>
      <w:r w:rsidRPr="00555DCF">
        <w:rPr>
          <w:sz w:val="24"/>
          <w:szCs w:val="24"/>
        </w:rPr>
        <w:t xml:space="preserve">Short bowel syndrome </w:t>
      </w:r>
    </w:p>
    <w:p w14:paraId="3B0D12B7" w14:textId="77777777" w:rsidR="00201029" w:rsidRPr="00555DCF" w:rsidRDefault="00201029" w:rsidP="005E416A">
      <w:pPr>
        <w:pStyle w:val="NoSpacing"/>
        <w:numPr>
          <w:ilvl w:val="0"/>
          <w:numId w:val="16"/>
        </w:numPr>
        <w:rPr>
          <w:sz w:val="24"/>
          <w:szCs w:val="24"/>
        </w:rPr>
      </w:pPr>
      <w:r w:rsidRPr="00555DCF">
        <w:rPr>
          <w:sz w:val="24"/>
          <w:szCs w:val="24"/>
        </w:rPr>
        <w:t>Coeliac disease</w:t>
      </w:r>
    </w:p>
    <w:p w14:paraId="7F93DC3B" w14:textId="711DFB8A" w:rsidR="00201029" w:rsidRPr="00555DCF" w:rsidRDefault="00201029" w:rsidP="005E416A">
      <w:pPr>
        <w:pStyle w:val="NoSpacing"/>
        <w:numPr>
          <w:ilvl w:val="0"/>
          <w:numId w:val="16"/>
        </w:numPr>
        <w:rPr>
          <w:sz w:val="24"/>
          <w:szCs w:val="24"/>
        </w:rPr>
      </w:pPr>
      <w:r w:rsidRPr="00555DCF">
        <w:rPr>
          <w:sz w:val="24"/>
          <w:szCs w:val="24"/>
        </w:rPr>
        <w:t>Eosinophilic Oesophagitis</w:t>
      </w:r>
    </w:p>
    <w:p w14:paraId="2647CE6D" w14:textId="77777777" w:rsidR="005E416A" w:rsidRPr="00555DCF" w:rsidRDefault="005E416A" w:rsidP="005E416A">
      <w:pPr>
        <w:pStyle w:val="NoSpacing"/>
        <w:ind w:left="720"/>
        <w:rPr>
          <w:sz w:val="24"/>
          <w:szCs w:val="24"/>
        </w:rPr>
      </w:pPr>
    </w:p>
    <w:p w14:paraId="6674B6E5" w14:textId="77777777" w:rsidR="00201029" w:rsidRPr="00555DCF" w:rsidRDefault="00201029" w:rsidP="006D1922">
      <w:pPr>
        <w:jc w:val="both"/>
        <w:rPr>
          <w:rFonts w:cstheme="minorHAnsi"/>
          <w:sz w:val="24"/>
          <w:szCs w:val="24"/>
        </w:rPr>
      </w:pPr>
      <w:r w:rsidRPr="00555DCF">
        <w:rPr>
          <w:rFonts w:cstheme="minorHAnsi"/>
          <w:sz w:val="24"/>
          <w:szCs w:val="24"/>
        </w:rPr>
        <w:t xml:space="preserve">Dietary advice has limited scope within the following conditions: Bile salt malabsorption, SIBO, functional bowel disorders other than IBS, GORD and non-specific reactions to foods </w:t>
      </w:r>
      <w:r w:rsidRPr="00555DCF">
        <w:rPr>
          <w:rFonts w:cstheme="minorHAnsi"/>
          <w:sz w:val="24"/>
          <w:szCs w:val="24"/>
        </w:rPr>
        <w:lastRenderedPageBreak/>
        <w:t>such as headaches, feeling hot/ sweating.  Please do not refer unless exceptional circumstances e.g. extreme weight loss.</w:t>
      </w:r>
    </w:p>
    <w:p w14:paraId="50FFA043" w14:textId="77777777" w:rsidR="00FA42AA" w:rsidRDefault="00FA42AA" w:rsidP="006D1922">
      <w:pPr>
        <w:jc w:val="both"/>
        <w:rPr>
          <w:rFonts w:cstheme="minorHAnsi"/>
          <w:b/>
          <w:bCs/>
          <w:color w:val="7030A0"/>
          <w:sz w:val="28"/>
          <w:szCs w:val="28"/>
        </w:rPr>
      </w:pPr>
    </w:p>
    <w:p w14:paraId="26996BF3" w14:textId="7C1F1F45" w:rsidR="00201029" w:rsidRPr="00555DCF" w:rsidRDefault="0048456D" w:rsidP="006D1922">
      <w:pPr>
        <w:jc w:val="both"/>
        <w:rPr>
          <w:rFonts w:cstheme="minorHAnsi"/>
          <w:b/>
          <w:color w:val="7030A0"/>
          <w:sz w:val="24"/>
          <w:szCs w:val="24"/>
        </w:rPr>
      </w:pPr>
      <w:r w:rsidRPr="00555DCF">
        <w:rPr>
          <w:rFonts w:cstheme="minorHAnsi"/>
          <w:b/>
          <w:bCs/>
          <w:color w:val="7030A0"/>
          <w:sz w:val="28"/>
          <w:szCs w:val="28"/>
        </w:rPr>
        <w:t>F</w:t>
      </w:r>
      <w:r w:rsidR="001326CE" w:rsidRPr="00555DCF">
        <w:rPr>
          <w:rFonts w:cstheme="minorHAnsi"/>
          <w:b/>
          <w:bCs/>
          <w:color w:val="7030A0"/>
          <w:sz w:val="28"/>
          <w:szCs w:val="28"/>
        </w:rPr>
        <w:t xml:space="preserve">or </w:t>
      </w:r>
      <w:r w:rsidR="00201029" w:rsidRPr="00555DCF">
        <w:rPr>
          <w:rFonts w:cstheme="minorHAnsi"/>
          <w:b/>
          <w:color w:val="7030A0"/>
          <w:sz w:val="28"/>
          <w:szCs w:val="28"/>
        </w:rPr>
        <w:t>Idiopathic Gastroparesis referrals</w:t>
      </w:r>
      <w:r w:rsidR="00201029" w:rsidRPr="00555DCF">
        <w:rPr>
          <w:rFonts w:cstheme="minorHAnsi"/>
          <w:b/>
          <w:color w:val="7030A0"/>
          <w:sz w:val="24"/>
          <w:szCs w:val="24"/>
        </w:rPr>
        <w:t>:</w:t>
      </w:r>
    </w:p>
    <w:p w14:paraId="66CF0D4F" w14:textId="77777777" w:rsidR="00201029" w:rsidRPr="00555DCF" w:rsidRDefault="00201029" w:rsidP="006D1922">
      <w:pPr>
        <w:numPr>
          <w:ilvl w:val="0"/>
          <w:numId w:val="6"/>
        </w:numPr>
        <w:jc w:val="both"/>
        <w:rPr>
          <w:rFonts w:cstheme="minorHAnsi"/>
          <w:sz w:val="24"/>
          <w:szCs w:val="24"/>
        </w:rPr>
      </w:pPr>
      <w:r w:rsidRPr="00555DCF">
        <w:rPr>
          <w:rFonts w:cstheme="minorHAnsi"/>
          <w:sz w:val="24"/>
          <w:szCs w:val="24"/>
        </w:rPr>
        <w:t>Referrals for idiopathic gastroparesis will only be accepted from NBT Gastroenterology Consultants</w:t>
      </w:r>
    </w:p>
    <w:p w14:paraId="5BF9872D" w14:textId="77777777" w:rsidR="003942F2" w:rsidRPr="00555DCF" w:rsidRDefault="00201029" w:rsidP="006D1922">
      <w:pPr>
        <w:numPr>
          <w:ilvl w:val="0"/>
          <w:numId w:val="6"/>
        </w:numPr>
        <w:jc w:val="both"/>
        <w:rPr>
          <w:rFonts w:cstheme="minorHAnsi"/>
          <w:sz w:val="24"/>
          <w:szCs w:val="24"/>
        </w:rPr>
      </w:pPr>
      <w:r w:rsidRPr="00555DCF">
        <w:rPr>
          <w:rFonts w:cstheme="minorHAnsi"/>
          <w:sz w:val="24"/>
          <w:szCs w:val="24"/>
        </w:rPr>
        <w:t xml:space="preserve">If a referral is made directly to the dietitians from General Practice, the referral will be rejected. </w:t>
      </w:r>
    </w:p>
    <w:p w14:paraId="303E8D35" w14:textId="101F13B0" w:rsidR="00201029" w:rsidRPr="00555DCF" w:rsidRDefault="00201029" w:rsidP="003942F2">
      <w:pPr>
        <w:numPr>
          <w:ilvl w:val="1"/>
          <w:numId w:val="6"/>
        </w:numPr>
        <w:jc w:val="both"/>
        <w:rPr>
          <w:rFonts w:cstheme="minorHAnsi"/>
          <w:sz w:val="24"/>
          <w:szCs w:val="24"/>
        </w:rPr>
      </w:pPr>
      <w:r w:rsidRPr="00555DCF">
        <w:rPr>
          <w:rFonts w:cstheme="minorHAnsi"/>
          <w:sz w:val="24"/>
          <w:szCs w:val="24"/>
        </w:rPr>
        <w:t>All referrals with upper gastrointestinal symptoms should be directed to the Consultant Gastroenterologist who will refer to dietetics</w:t>
      </w:r>
      <w:r w:rsidR="003942F2" w:rsidRPr="00555DCF">
        <w:rPr>
          <w:rFonts w:cstheme="minorHAnsi"/>
          <w:sz w:val="24"/>
          <w:szCs w:val="24"/>
        </w:rPr>
        <w:t xml:space="preserve"> following MDT</w:t>
      </w:r>
    </w:p>
    <w:p w14:paraId="207C3BD1" w14:textId="67000620" w:rsidR="00BC7634" w:rsidRPr="00555DCF" w:rsidRDefault="0048456D" w:rsidP="006D1922">
      <w:pPr>
        <w:jc w:val="both"/>
        <w:rPr>
          <w:rFonts w:cstheme="minorHAnsi"/>
          <w:b/>
          <w:bCs/>
          <w:color w:val="7030A0"/>
          <w:sz w:val="28"/>
          <w:szCs w:val="28"/>
          <w:lang w:val="en"/>
        </w:rPr>
      </w:pPr>
      <w:r w:rsidRPr="00555DCF">
        <w:rPr>
          <w:rFonts w:cstheme="minorHAnsi"/>
          <w:b/>
          <w:bCs/>
          <w:color w:val="7030A0"/>
          <w:sz w:val="28"/>
          <w:szCs w:val="28"/>
        </w:rPr>
        <w:t>F</w:t>
      </w:r>
      <w:r w:rsidR="001326CE" w:rsidRPr="00555DCF">
        <w:rPr>
          <w:rFonts w:cstheme="minorHAnsi"/>
          <w:b/>
          <w:bCs/>
          <w:color w:val="7030A0"/>
          <w:sz w:val="28"/>
          <w:szCs w:val="28"/>
        </w:rPr>
        <w:t xml:space="preserve">or </w:t>
      </w:r>
      <w:r w:rsidR="00BC7634" w:rsidRPr="00555DCF">
        <w:rPr>
          <w:rFonts w:cstheme="minorHAnsi"/>
          <w:b/>
          <w:bCs/>
          <w:color w:val="7030A0"/>
          <w:sz w:val="28"/>
          <w:szCs w:val="28"/>
          <w:lang w:val="en"/>
        </w:rPr>
        <w:t>Neurology referrals:</w:t>
      </w:r>
    </w:p>
    <w:p w14:paraId="590F7201" w14:textId="69029F21" w:rsidR="009D5C96" w:rsidRPr="00555DCF" w:rsidRDefault="009D5C96" w:rsidP="009D5C96">
      <w:pPr>
        <w:jc w:val="both"/>
        <w:rPr>
          <w:rFonts w:cstheme="minorHAnsi"/>
          <w:color w:val="000000" w:themeColor="text1"/>
          <w:sz w:val="24"/>
          <w:szCs w:val="24"/>
        </w:rPr>
      </w:pPr>
      <w:r w:rsidRPr="00555DCF">
        <w:rPr>
          <w:rFonts w:cstheme="minorHAnsi"/>
          <w:color w:val="000000" w:themeColor="text1"/>
          <w:sz w:val="24"/>
          <w:szCs w:val="24"/>
        </w:rPr>
        <w:t xml:space="preserve">All patients with a neurological condition may have queries regarding the best diet </w:t>
      </w:r>
      <w:r w:rsidR="0041046B" w:rsidRPr="00555DCF">
        <w:rPr>
          <w:rFonts w:cstheme="minorHAnsi"/>
          <w:color w:val="000000" w:themeColor="text1"/>
          <w:sz w:val="24"/>
          <w:szCs w:val="24"/>
        </w:rPr>
        <w:t>for</w:t>
      </w:r>
      <w:r w:rsidRPr="00555DCF">
        <w:rPr>
          <w:rFonts w:cstheme="minorHAnsi"/>
          <w:color w:val="000000" w:themeColor="text1"/>
          <w:sz w:val="24"/>
          <w:szCs w:val="24"/>
        </w:rPr>
        <w:t xml:space="preserve"> their condition regardless of current symptoms and can be referred for general advice.</w:t>
      </w:r>
      <w:r w:rsidR="00F90C9E" w:rsidRPr="00555DCF">
        <w:rPr>
          <w:rFonts w:cstheme="minorHAnsi"/>
          <w:color w:val="000000" w:themeColor="text1"/>
          <w:sz w:val="24"/>
          <w:szCs w:val="24"/>
        </w:rPr>
        <w:t xml:space="preserve"> Neurology referrals are also accepted from </w:t>
      </w:r>
      <w:r w:rsidR="0052798D" w:rsidRPr="00555DCF">
        <w:rPr>
          <w:rFonts w:cstheme="minorHAnsi"/>
          <w:color w:val="000000" w:themeColor="text1"/>
          <w:sz w:val="24"/>
          <w:szCs w:val="24"/>
        </w:rPr>
        <w:t xml:space="preserve">GP, </w:t>
      </w:r>
      <w:r w:rsidR="00F90C9E" w:rsidRPr="00555DCF">
        <w:rPr>
          <w:rFonts w:cstheme="minorHAnsi"/>
          <w:color w:val="000000" w:themeColor="text1"/>
          <w:sz w:val="24"/>
          <w:szCs w:val="24"/>
        </w:rPr>
        <w:t>MND</w:t>
      </w:r>
      <w:r w:rsidR="00E97FFC" w:rsidRPr="00555DCF">
        <w:rPr>
          <w:rFonts w:cstheme="minorHAnsi"/>
          <w:color w:val="000000" w:themeColor="text1"/>
          <w:sz w:val="24"/>
          <w:szCs w:val="24"/>
        </w:rPr>
        <w:t xml:space="preserve"> coordinator, Specialist nurses</w:t>
      </w:r>
      <w:r w:rsidR="00F90C9E" w:rsidRPr="00555DCF">
        <w:rPr>
          <w:rFonts w:cstheme="minorHAnsi"/>
          <w:color w:val="000000" w:themeColor="text1"/>
          <w:sz w:val="24"/>
          <w:szCs w:val="24"/>
        </w:rPr>
        <w:t>, Speech and Language therapist and the Community team.</w:t>
      </w:r>
    </w:p>
    <w:p w14:paraId="4095693B" w14:textId="77777777" w:rsidR="009D5C96" w:rsidRPr="00555DCF" w:rsidRDefault="009D5C96" w:rsidP="009D5C96">
      <w:pPr>
        <w:jc w:val="both"/>
        <w:rPr>
          <w:rFonts w:cstheme="minorHAnsi"/>
          <w:color w:val="000000" w:themeColor="text1"/>
          <w:sz w:val="24"/>
          <w:szCs w:val="24"/>
        </w:rPr>
      </w:pPr>
      <w:r w:rsidRPr="00555DCF">
        <w:rPr>
          <w:rFonts w:cstheme="minorHAnsi"/>
          <w:color w:val="000000" w:themeColor="text1"/>
          <w:sz w:val="24"/>
          <w:szCs w:val="24"/>
        </w:rPr>
        <w:t xml:space="preserve">If experiencing any issues with weight maintenance, appetite, dysphagia or gastrointestinal concerns then dietary advice is evidenced to help in the following conditions: </w:t>
      </w:r>
    </w:p>
    <w:p w14:paraId="3EF2C03E" w14:textId="77777777" w:rsidR="009D5C96" w:rsidRPr="00555DCF" w:rsidRDefault="00000000"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hyperlink r:id="rId11" w:tgtFrame="_blank" w:tooltip="Visit website" w:history="1">
        <w:r w:rsidR="009D5C96" w:rsidRPr="00555DCF">
          <w:rPr>
            <w:rStyle w:val="Hyperlink"/>
            <w:rFonts w:asciiTheme="minorHAnsi" w:hAnsiTheme="minorHAnsi" w:cstheme="minorHAnsi"/>
            <w:color w:val="000000" w:themeColor="text1"/>
            <w:sz w:val="24"/>
            <w:szCs w:val="24"/>
            <w:u w:val="none"/>
            <w:lang w:val="en" w:eastAsia="en-GB"/>
          </w:rPr>
          <w:t>Parkinson’s Disease</w:t>
        </w:r>
      </w:hyperlink>
    </w:p>
    <w:p w14:paraId="01C5F321" w14:textId="77777777" w:rsidR="009D5C96" w:rsidRPr="00555DCF" w:rsidRDefault="00000000"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hyperlink r:id="rId12" w:tgtFrame="_blank" w:tooltip="Visit website" w:history="1">
        <w:r w:rsidR="009D5C96" w:rsidRPr="00555DCF">
          <w:rPr>
            <w:rStyle w:val="Hyperlink"/>
            <w:rFonts w:asciiTheme="minorHAnsi" w:hAnsiTheme="minorHAnsi" w:cstheme="minorHAnsi"/>
            <w:color w:val="000000" w:themeColor="text1"/>
            <w:sz w:val="24"/>
            <w:szCs w:val="24"/>
            <w:u w:val="none"/>
            <w:lang w:val="en" w:eastAsia="en-GB"/>
          </w:rPr>
          <w:t>Huntingdon’s Disease</w:t>
        </w:r>
      </w:hyperlink>
    </w:p>
    <w:p w14:paraId="220CDBFB" w14:textId="77777777" w:rsidR="009D5C96" w:rsidRPr="00555DCF" w:rsidRDefault="00000000"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hyperlink r:id="rId13" w:tgtFrame="_blank" w:tooltip="Visit website" w:history="1">
        <w:r w:rsidR="009D5C96" w:rsidRPr="00555DCF">
          <w:rPr>
            <w:rStyle w:val="Hyperlink"/>
            <w:rFonts w:asciiTheme="minorHAnsi" w:hAnsiTheme="minorHAnsi" w:cstheme="minorHAnsi"/>
            <w:color w:val="000000" w:themeColor="text1"/>
            <w:sz w:val="24"/>
            <w:szCs w:val="24"/>
            <w:u w:val="none"/>
            <w:lang w:val="en" w:eastAsia="en-GB"/>
          </w:rPr>
          <w:t>Motor Neurone Disease</w:t>
        </w:r>
      </w:hyperlink>
    </w:p>
    <w:p w14:paraId="625FFF5B" w14:textId="77777777" w:rsidR="009D5C96" w:rsidRPr="00555DCF" w:rsidRDefault="00000000"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hyperlink r:id="rId14" w:tgtFrame="_blank" w:tooltip="Visit website" w:history="1">
        <w:r w:rsidR="009D5C96" w:rsidRPr="00555DCF">
          <w:rPr>
            <w:rStyle w:val="Hyperlink"/>
            <w:rFonts w:asciiTheme="minorHAnsi" w:hAnsiTheme="minorHAnsi" w:cstheme="minorHAnsi"/>
            <w:color w:val="000000" w:themeColor="text1"/>
            <w:sz w:val="24"/>
            <w:szCs w:val="24"/>
            <w:u w:val="none"/>
            <w:lang w:val="en" w:eastAsia="en-GB"/>
          </w:rPr>
          <w:t>Multiple Sclerosis</w:t>
        </w:r>
      </w:hyperlink>
    </w:p>
    <w:p w14:paraId="17D4285E" w14:textId="77777777" w:rsidR="009D5C96" w:rsidRPr="00555DCF" w:rsidRDefault="00000000"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hyperlink r:id="rId15" w:tgtFrame="_blank" w:tooltip="Visit website" w:history="1">
        <w:r w:rsidR="009D5C96" w:rsidRPr="00555DCF">
          <w:rPr>
            <w:rStyle w:val="Hyperlink"/>
            <w:rFonts w:asciiTheme="minorHAnsi" w:hAnsiTheme="minorHAnsi" w:cstheme="minorHAnsi"/>
            <w:color w:val="000000" w:themeColor="text1"/>
            <w:sz w:val="24"/>
            <w:szCs w:val="24"/>
            <w:u w:val="none"/>
            <w:lang w:val="en" w:eastAsia="en-GB"/>
          </w:rPr>
          <w:t>Progressive Supranuclear Palsy (PSP)</w:t>
        </w:r>
      </w:hyperlink>
    </w:p>
    <w:p w14:paraId="411D5D9D" w14:textId="77777777" w:rsidR="009D5C96" w:rsidRPr="00555DCF" w:rsidRDefault="009D5C96"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r w:rsidRPr="00555DCF">
        <w:rPr>
          <w:rFonts w:asciiTheme="minorHAnsi" w:hAnsiTheme="minorHAnsi" w:cstheme="minorHAnsi"/>
          <w:color w:val="000000" w:themeColor="text1"/>
          <w:sz w:val="24"/>
          <w:szCs w:val="24"/>
          <w:lang w:val="en" w:eastAsia="en-GB"/>
        </w:rPr>
        <w:t>Multi System Atrophy (MSA)</w:t>
      </w:r>
    </w:p>
    <w:p w14:paraId="1E9D241B" w14:textId="77777777" w:rsidR="009D5C96" w:rsidRPr="00555DCF" w:rsidRDefault="009D5C96"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r w:rsidRPr="00555DCF">
        <w:rPr>
          <w:rFonts w:asciiTheme="minorHAnsi" w:hAnsiTheme="minorHAnsi" w:cstheme="minorHAnsi"/>
          <w:color w:val="000000" w:themeColor="text1"/>
          <w:sz w:val="24"/>
          <w:szCs w:val="24"/>
        </w:rPr>
        <w:t>Duchenne’s Muscular Dystrophy</w:t>
      </w:r>
    </w:p>
    <w:p w14:paraId="0D7EF202" w14:textId="77777777" w:rsidR="009D5C96" w:rsidRPr="00555DCF" w:rsidRDefault="009D5C96" w:rsidP="009D5C96">
      <w:pPr>
        <w:pStyle w:val="ListParagraph"/>
        <w:numPr>
          <w:ilvl w:val="0"/>
          <w:numId w:val="11"/>
        </w:numPr>
        <w:spacing w:before="100" w:beforeAutospacing="1" w:after="100" w:afterAutospacing="1" w:line="240" w:lineRule="auto"/>
        <w:jc w:val="both"/>
        <w:rPr>
          <w:rFonts w:asciiTheme="minorHAnsi" w:hAnsiTheme="minorHAnsi" w:cstheme="minorHAnsi"/>
          <w:color w:val="000000" w:themeColor="text1"/>
          <w:sz w:val="24"/>
          <w:szCs w:val="24"/>
          <w:lang w:val="en" w:eastAsia="en-GB"/>
        </w:rPr>
      </w:pPr>
      <w:r w:rsidRPr="00555DCF">
        <w:rPr>
          <w:rFonts w:asciiTheme="minorHAnsi" w:hAnsiTheme="minorHAnsi" w:cstheme="minorHAnsi"/>
          <w:color w:val="000000" w:themeColor="text1"/>
          <w:sz w:val="24"/>
          <w:szCs w:val="24"/>
        </w:rPr>
        <w:t>Any neuromuscular disorder such as Myotonic Dystrophy</w:t>
      </w:r>
    </w:p>
    <w:p w14:paraId="5A16F42B" w14:textId="72352BD0" w:rsidR="009D5C96" w:rsidRPr="00555DCF" w:rsidRDefault="0048456D" w:rsidP="009D5C96">
      <w:pPr>
        <w:jc w:val="both"/>
        <w:rPr>
          <w:rFonts w:cstheme="minorHAnsi"/>
          <w:b/>
          <w:bCs/>
          <w:color w:val="7030A0"/>
          <w:sz w:val="28"/>
          <w:szCs w:val="28"/>
          <w:lang w:val="en"/>
        </w:rPr>
      </w:pPr>
      <w:r w:rsidRPr="00555DCF">
        <w:rPr>
          <w:rFonts w:cstheme="minorHAnsi"/>
          <w:b/>
          <w:bCs/>
          <w:color w:val="7030A0"/>
          <w:sz w:val="28"/>
          <w:szCs w:val="28"/>
        </w:rPr>
        <w:t>F</w:t>
      </w:r>
      <w:r w:rsidR="009D5C96" w:rsidRPr="00555DCF">
        <w:rPr>
          <w:rFonts w:cstheme="minorHAnsi"/>
          <w:b/>
          <w:bCs/>
          <w:color w:val="7030A0"/>
          <w:sz w:val="28"/>
          <w:szCs w:val="28"/>
        </w:rPr>
        <w:t>or</w:t>
      </w:r>
      <w:r w:rsidR="009D5C96" w:rsidRPr="00555DCF">
        <w:rPr>
          <w:rFonts w:cstheme="minorHAnsi"/>
          <w:b/>
          <w:color w:val="7030A0"/>
          <w:sz w:val="28"/>
          <w:szCs w:val="28"/>
          <w:lang w:val="en" w:eastAsia="en-GB"/>
        </w:rPr>
        <w:t xml:space="preserve"> Chronic Fatigue Syndrome </w:t>
      </w:r>
      <w:r w:rsidR="008E1A17" w:rsidRPr="00555DCF">
        <w:rPr>
          <w:rFonts w:cstheme="minorHAnsi"/>
          <w:b/>
          <w:color w:val="7030A0"/>
          <w:sz w:val="28"/>
          <w:szCs w:val="28"/>
          <w:lang w:val="en" w:eastAsia="en-GB"/>
        </w:rPr>
        <w:t>(CFS)</w:t>
      </w:r>
      <w:r w:rsidR="009D5C96" w:rsidRPr="00555DCF">
        <w:rPr>
          <w:rFonts w:cstheme="minorHAnsi"/>
          <w:b/>
          <w:color w:val="7030A0"/>
          <w:sz w:val="28"/>
          <w:szCs w:val="28"/>
          <w:lang w:val="en" w:eastAsia="en-GB"/>
        </w:rPr>
        <w:t>/ Myalgic Encephalomyelitis</w:t>
      </w:r>
      <w:r w:rsidR="009D5C96" w:rsidRPr="00555DCF">
        <w:rPr>
          <w:rFonts w:cstheme="minorHAnsi"/>
          <w:b/>
          <w:bCs/>
          <w:color w:val="7030A0"/>
          <w:sz w:val="28"/>
          <w:szCs w:val="28"/>
          <w:lang w:val="en"/>
        </w:rPr>
        <w:t xml:space="preserve"> </w:t>
      </w:r>
      <w:r w:rsidR="008E1A17" w:rsidRPr="00555DCF">
        <w:rPr>
          <w:rFonts w:cstheme="minorHAnsi"/>
          <w:b/>
          <w:bCs/>
          <w:color w:val="7030A0"/>
          <w:sz w:val="28"/>
          <w:szCs w:val="28"/>
          <w:lang w:val="en"/>
        </w:rPr>
        <w:t xml:space="preserve">(ME) </w:t>
      </w:r>
      <w:r w:rsidR="009D5C96" w:rsidRPr="00555DCF">
        <w:rPr>
          <w:rFonts w:cstheme="minorHAnsi"/>
          <w:b/>
          <w:bCs/>
          <w:color w:val="7030A0"/>
          <w:sz w:val="28"/>
          <w:szCs w:val="28"/>
          <w:lang w:val="en"/>
        </w:rPr>
        <w:t>referrals:</w:t>
      </w:r>
    </w:p>
    <w:p w14:paraId="3DA1ED5D" w14:textId="3080CB13" w:rsidR="009D5C96" w:rsidRDefault="008E1A17" w:rsidP="009D5C96">
      <w:pPr>
        <w:spacing w:before="100" w:beforeAutospacing="1" w:after="100" w:afterAutospacing="1" w:line="240" w:lineRule="auto"/>
        <w:jc w:val="both"/>
        <w:rPr>
          <w:rFonts w:cstheme="minorHAnsi"/>
          <w:sz w:val="24"/>
          <w:szCs w:val="24"/>
          <w:lang w:val="en" w:eastAsia="en-GB"/>
        </w:rPr>
      </w:pPr>
      <w:r w:rsidRPr="00555DCF">
        <w:rPr>
          <w:rFonts w:cstheme="minorHAnsi"/>
          <w:sz w:val="24"/>
          <w:szCs w:val="24"/>
          <w:lang w:val="en" w:eastAsia="en-GB"/>
        </w:rPr>
        <w:t xml:space="preserve">For patients with </w:t>
      </w:r>
      <w:r w:rsidR="009D5C96" w:rsidRPr="00555DCF">
        <w:rPr>
          <w:rFonts w:cstheme="minorHAnsi"/>
          <w:sz w:val="24"/>
          <w:szCs w:val="24"/>
          <w:lang w:val="en" w:eastAsia="en-GB"/>
        </w:rPr>
        <w:t>Chronic Fatigue Syndrome</w:t>
      </w:r>
      <w:r w:rsidR="009D5C96" w:rsidRPr="00555DCF">
        <w:rPr>
          <w:rFonts w:cstheme="minorHAnsi"/>
          <w:color w:val="1F497D"/>
          <w:sz w:val="24"/>
          <w:szCs w:val="24"/>
          <w:lang w:val="en" w:eastAsia="en-GB"/>
        </w:rPr>
        <w:t xml:space="preserve"> / </w:t>
      </w:r>
      <w:r w:rsidR="009D5C96" w:rsidRPr="00555DCF">
        <w:rPr>
          <w:rFonts w:cstheme="minorHAnsi"/>
          <w:sz w:val="24"/>
          <w:szCs w:val="24"/>
          <w:lang w:val="en" w:eastAsia="en-GB"/>
        </w:rPr>
        <w:t>Myalgic Encephalomyelitis</w:t>
      </w:r>
      <w:r w:rsidRPr="00555DCF">
        <w:rPr>
          <w:rFonts w:cstheme="minorHAnsi"/>
          <w:sz w:val="24"/>
          <w:szCs w:val="24"/>
          <w:lang w:val="en" w:eastAsia="en-GB"/>
        </w:rPr>
        <w:t>, referrals can be sen</w:t>
      </w:r>
      <w:r w:rsidR="0041046B" w:rsidRPr="00555DCF">
        <w:rPr>
          <w:rFonts w:cstheme="minorHAnsi"/>
          <w:sz w:val="24"/>
          <w:szCs w:val="24"/>
          <w:lang w:val="en" w:eastAsia="en-GB"/>
        </w:rPr>
        <w:t>t</w:t>
      </w:r>
      <w:r w:rsidRPr="00555DCF">
        <w:rPr>
          <w:rFonts w:cstheme="minorHAnsi"/>
          <w:sz w:val="24"/>
          <w:szCs w:val="24"/>
          <w:lang w:val="en" w:eastAsia="en-GB"/>
        </w:rPr>
        <w:t xml:space="preserve"> from</w:t>
      </w:r>
      <w:r w:rsidR="009D5C96" w:rsidRPr="00555DCF">
        <w:rPr>
          <w:rFonts w:cstheme="minorHAnsi"/>
          <w:sz w:val="24"/>
          <w:szCs w:val="24"/>
          <w:lang w:val="en" w:eastAsia="en-GB"/>
        </w:rPr>
        <w:t xml:space="preserve"> </w:t>
      </w:r>
      <w:r w:rsidRPr="00555DCF">
        <w:rPr>
          <w:rFonts w:cstheme="minorHAnsi"/>
          <w:sz w:val="24"/>
          <w:szCs w:val="24"/>
          <w:lang w:val="en" w:eastAsia="en-GB"/>
        </w:rPr>
        <w:t>the specialist CFS or specialist ME team.</w:t>
      </w:r>
    </w:p>
    <w:p w14:paraId="57FB6E98" w14:textId="63CE9D20" w:rsidR="00896C11" w:rsidRDefault="00896C11" w:rsidP="009D5C96">
      <w:pPr>
        <w:spacing w:before="100" w:beforeAutospacing="1" w:after="100" w:afterAutospacing="1" w:line="240" w:lineRule="auto"/>
        <w:jc w:val="both"/>
        <w:rPr>
          <w:rFonts w:cstheme="minorHAnsi"/>
          <w:sz w:val="24"/>
          <w:szCs w:val="24"/>
          <w:lang w:val="en" w:eastAsia="en-GB"/>
        </w:rPr>
      </w:pPr>
    </w:p>
    <w:p w14:paraId="086EC1A6" w14:textId="1C07BBCC" w:rsidR="00896C11" w:rsidRDefault="00896C11" w:rsidP="009D5C96">
      <w:pPr>
        <w:spacing w:before="100" w:beforeAutospacing="1" w:after="100" w:afterAutospacing="1" w:line="240" w:lineRule="auto"/>
        <w:jc w:val="both"/>
        <w:rPr>
          <w:rFonts w:cstheme="minorHAnsi"/>
          <w:sz w:val="24"/>
          <w:szCs w:val="24"/>
          <w:lang w:val="en" w:eastAsia="en-GB"/>
        </w:rPr>
      </w:pPr>
    </w:p>
    <w:p w14:paraId="6FBC4751" w14:textId="77777777" w:rsidR="00896C11" w:rsidRPr="00555DCF" w:rsidRDefault="00896C11" w:rsidP="009D5C96">
      <w:pPr>
        <w:spacing w:before="100" w:beforeAutospacing="1" w:after="100" w:afterAutospacing="1" w:line="240" w:lineRule="auto"/>
        <w:jc w:val="both"/>
        <w:rPr>
          <w:rFonts w:cstheme="minorHAnsi"/>
          <w:color w:val="000000" w:themeColor="text1"/>
          <w:sz w:val="24"/>
          <w:szCs w:val="24"/>
          <w:lang w:val="en" w:eastAsia="en-GB"/>
        </w:rPr>
      </w:pPr>
    </w:p>
    <w:p w14:paraId="081BD72A" w14:textId="53BE2314" w:rsidR="006D1922" w:rsidRPr="00555DCF" w:rsidRDefault="0048456D" w:rsidP="006D1922">
      <w:pPr>
        <w:jc w:val="both"/>
        <w:rPr>
          <w:rFonts w:cstheme="minorHAnsi"/>
          <w:b/>
          <w:color w:val="7030A0"/>
          <w:sz w:val="28"/>
          <w:szCs w:val="28"/>
        </w:rPr>
      </w:pPr>
      <w:r w:rsidRPr="00555DCF">
        <w:rPr>
          <w:rFonts w:cstheme="minorHAnsi"/>
          <w:b/>
          <w:bCs/>
          <w:color w:val="7030A0"/>
          <w:sz w:val="28"/>
          <w:szCs w:val="28"/>
        </w:rPr>
        <w:lastRenderedPageBreak/>
        <w:t>F</w:t>
      </w:r>
      <w:r w:rsidR="001326CE" w:rsidRPr="00555DCF">
        <w:rPr>
          <w:rFonts w:cstheme="minorHAnsi"/>
          <w:b/>
          <w:bCs/>
          <w:color w:val="7030A0"/>
          <w:sz w:val="28"/>
          <w:szCs w:val="28"/>
        </w:rPr>
        <w:t xml:space="preserve">or </w:t>
      </w:r>
      <w:r w:rsidR="006D1922" w:rsidRPr="00555DCF">
        <w:rPr>
          <w:rFonts w:cstheme="minorHAnsi"/>
          <w:b/>
          <w:color w:val="7030A0"/>
          <w:sz w:val="28"/>
          <w:szCs w:val="28"/>
        </w:rPr>
        <w:t>Inherited Metabolic Condition referrals:</w:t>
      </w:r>
    </w:p>
    <w:p w14:paraId="2F1A1996" w14:textId="77777777" w:rsidR="003419A5" w:rsidRPr="00555DCF" w:rsidRDefault="003419A5" w:rsidP="003419A5">
      <w:pPr>
        <w:pStyle w:val="ListParagraph"/>
        <w:numPr>
          <w:ilvl w:val="0"/>
          <w:numId w:val="10"/>
        </w:numPr>
        <w:jc w:val="both"/>
        <w:rPr>
          <w:rFonts w:asciiTheme="minorHAnsi" w:hAnsiTheme="minorHAnsi" w:cstheme="minorHAnsi"/>
          <w:bCs/>
          <w:sz w:val="24"/>
          <w:szCs w:val="24"/>
          <w:lang w:val="en"/>
        </w:rPr>
      </w:pPr>
      <w:r w:rsidRPr="00555DCF">
        <w:rPr>
          <w:rFonts w:asciiTheme="minorHAnsi" w:hAnsiTheme="minorHAnsi" w:cstheme="minorHAnsi"/>
          <w:bCs/>
          <w:sz w:val="24"/>
          <w:szCs w:val="24"/>
          <w:lang w:val="en"/>
        </w:rPr>
        <w:t xml:space="preserve">Referrals are </w:t>
      </w:r>
      <w:r w:rsidR="00C57517" w:rsidRPr="00555DCF">
        <w:rPr>
          <w:rFonts w:asciiTheme="minorHAnsi" w:hAnsiTheme="minorHAnsi" w:cstheme="minorHAnsi"/>
          <w:bCs/>
          <w:sz w:val="24"/>
          <w:szCs w:val="24"/>
          <w:lang w:val="en"/>
        </w:rPr>
        <w:t>only accepted if the patient is under Inherited Metabolic Disease team and the Consultant</w:t>
      </w:r>
      <w:r w:rsidRPr="00555DCF">
        <w:rPr>
          <w:rFonts w:asciiTheme="minorHAnsi" w:hAnsiTheme="minorHAnsi" w:cstheme="minorHAnsi"/>
          <w:bCs/>
          <w:sz w:val="24"/>
          <w:szCs w:val="24"/>
          <w:lang w:val="en"/>
        </w:rPr>
        <w:t xml:space="preserve"> </w:t>
      </w:r>
      <w:r w:rsidR="00C57517" w:rsidRPr="00555DCF">
        <w:rPr>
          <w:rFonts w:asciiTheme="minorHAnsi" w:hAnsiTheme="minorHAnsi" w:cstheme="minorHAnsi"/>
          <w:bCs/>
          <w:sz w:val="24"/>
          <w:szCs w:val="24"/>
          <w:lang w:val="en"/>
        </w:rPr>
        <w:t>Chemical Pathologist. The dietitian then sees patients who attend the Adult Metabolic Clinic.</w:t>
      </w:r>
    </w:p>
    <w:p w14:paraId="1754533B" w14:textId="77777777" w:rsidR="00C57517" w:rsidRPr="00555DCF" w:rsidRDefault="00C57517" w:rsidP="003419A5">
      <w:pPr>
        <w:pStyle w:val="ListParagraph"/>
        <w:numPr>
          <w:ilvl w:val="0"/>
          <w:numId w:val="10"/>
        </w:numPr>
        <w:jc w:val="both"/>
        <w:rPr>
          <w:rFonts w:asciiTheme="minorHAnsi" w:hAnsiTheme="minorHAnsi" w:cstheme="minorHAnsi"/>
          <w:bCs/>
          <w:sz w:val="24"/>
          <w:szCs w:val="24"/>
          <w:lang w:val="en"/>
        </w:rPr>
      </w:pPr>
      <w:r w:rsidRPr="00555DCF">
        <w:rPr>
          <w:rFonts w:asciiTheme="minorHAnsi" w:hAnsiTheme="minorHAnsi" w:cstheme="minorHAnsi"/>
          <w:bCs/>
          <w:sz w:val="24"/>
          <w:szCs w:val="24"/>
          <w:lang w:val="en"/>
        </w:rPr>
        <w:t>For more info</w:t>
      </w:r>
      <w:r w:rsidR="001B5ECB" w:rsidRPr="00555DCF">
        <w:rPr>
          <w:rFonts w:asciiTheme="minorHAnsi" w:hAnsiTheme="minorHAnsi" w:cstheme="minorHAnsi"/>
          <w:bCs/>
          <w:sz w:val="24"/>
          <w:szCs w:val="24"/>
          <w:lang w:val="en"/>
        </w:rPr>
        <w:t xml:space="preserve"> on referring to this service</w:t>
      </w:r>
      <w:r w:rsidRPr="00555DCF">
        <w:rPr>
          <w:rFonts w:asciiTheme="minorHAnsi" w:hAnsiTheme="minorHAnsi" w:cstheme="minorHAnsi"/>
          <w:bCs/>
          <w:sz w:val="24"/>
          <w:szCs w:val="24"/>
          <w:lang w:val="en"/>
        </w:rPr>
        <w:t xml:space="preserve"> see </w:t>
      </w:r>
      <w:hyperlink r:id="rId16" w:history="1">
        <w:r w:rsidRPr="00555DCF">
          <w:rPr>
            <w:rStyle w:val="Hyperlink"/>
            <w:rFonts w:asciiTheme="minorHAnsi" w:hAnsiTheme="minorHAnsi" w:cstheme="minorHAnsi"/>
            <w:bCs/>
            <w:sz w:val="24"/>
            <w:szCs w:val="24"/>
            <w:lang w:val="en"/>
          </w:rPr>
          <w:t>Clinical Biochemistry Clinics</w:t>
        </w:r>
      </w:hyperlink>
      <w:r w:rsidRPr="00555DCF">
        <w:rPr>
          <w:rFonts w:asciiTheme="minorHAnsi" w:hAnsiTheme="minorHAnsi" w:cstheme="minorHAnsi"/>
          <w:bCs/>
          <w:sz w:val="24"/>
          <w:szCs w:val="24"/>
          <w:lang w:val="en"/>
        </w:rPr>
        <w:t xml:space="preserve"> page </w:t>
      </w:r>
    </w:p>
    <w:p w14:paraId="35DA651B" w14:textId="77777777" w:rsidR="00FA42AA" w:rsidRDefault="00FA42AA" w:rsidP="006D1922">
      <w:pPr>
        <w:jc w:val="both"/>
        <w:rPr>
          <w:rFonts w:cstheme="minorHAnsi"/>
          <w:b/>
          <w:bCs/>
          <w:color w:val="7030A0"/>
          <w:sz w:val="28"/>
          <w:szCs w:val="28"/>
        </w:rPr>
      </w:pPr>
    </w:p>
    <w:p w14:paraId="0A8A92F5" w14:textId="77777777" w:rsidR="00A00A7C" w:rsidRDefault="00A00A7C" w:rsidP="00A00A7C">
      <w:pPr>
        <w:jc w:val="both"/>
        <w:rPr>
          <w:b/>
          <w:bCs/>
          <w:color w:val="7030A0"/>
          <w:sz w:val="28"/>
          <w:szCs w:val="28"/>
          <w:lang w:val="en"/>
        </w:rPr>
      </w:pPr>
      <w:r>
        <w:rPr>
          <w:b/>
          <w:bCs/>
          <w:color w:val="7030A0"/>
          <w:sz w:val="28"/>
          <w:szCs w:val="28"/>
        </w:rPr>
        <w:t xml:space="preserve">For </w:t>
      </w:r>
      <w:r>
        <w:rPr>
          <w:b/>
          <w:bCs/>
          <w:color w:val="7030A0"/>
          <w:sz w:val="28"/>
          <w:szCs w:val="28"/>
          <w:lang w:val="en"/>
        </w:rPr>
        <w:t>Macmillan Cancer Dietitian referrals:</w:t>
      </w:r>
    </w:p>
    <w:p w14:paraId="01346D5E" w14:textId="77777777" w:rsidR="00A00A7C" w:rsidRDefault="00A00A7C" w:rsidP="00A00A7C">
      <w:pPr>
        <w:rPr>
          <w:color w:val="231F20"/>
          <w:sz w:val="24"/>
          <w:szCs w:val="24"/>
          <w:lang w:val="en" w:eastAsia="en-GB"/>
        </w:rPr>
      </w:pPr>
      <w:r>
        <w:rPr>
          <w:color w:val="231F20"/>
          <w:sz w:val="24"/>
          <w:szCs w:val="24"/>
          <w:lang w:val="en" w:eastAsia="en-GB"/>
        </w:rPr>
        <w:t>Patients will be seen routinely if diagnosed with Upper Gastrointestinal Cancer. If your patient has not yet received support and would like to speak to us, then please use the professional referral form below.</w:t>
      </w:r>
    </w:p>
    <w:p w14:paraId="535450A4" w14:textId="77777777" w:rsidR="00A00A7C" w:rsidRDefault="00A00A7C" w:rsidP="00A00A7C">
      <w:pPr>
        <w:rPr>
          <w:color w:val="231F20"/>
          <w:sz w:val="24"/>
          <w:szCs w:val="24"/>
          <w:lang w:val="en" w:eastAsia="en-GB"/>
        </w:rPr>
      </w:pPr>
    </w:p>
    <w:p w14:paraId="64A684D6" w14:textId="7ADC0507" w:rsidR="00A00A7C" w:rsidRDefault="00A00A7C" w:rsidP="00A00A7C">
      <w:pPr>
        <w:rPr>
          <w:color w:val="231F20"/>
          <w:sz w:val="24"/>
          <w:szCs w:val="24"/>
          <w:lang w:val="en" w:eastAsia="en-GB"/>
        </w:rPr>
      </w:pPr>
      <w:r>
        <w:rPr>
          <w:color w:val="231F20"/>
          <w:sz w:val="24"/>
          <w:szCs w:val="24"/>
          <w:lang w:val="en" w:eastAsia="en-GB"/>
        </w:rPr>
        <w:t xml:space="preserve">For other cancer diagnoses, Dietitians provide nutritional advice as part of the Proactive Project: </w:t>
      </w:r>
      <w:r w:rsidRPr="00A00A7C">
        <w:rPr>
          <w:color w:val="231F20"/>
          <w:sz w:val="24"/>
          <w:szCs w:val="24"/>
          <w:lang w:eastAsia="en-GB"/>
        </w:rPr>
        <w:t>Personalised</w:t>
      </w:r>
      <w:r>
        <w:rPr>
          <w:color w:val="231F20"/>
          <w:sz w:val="24"/>
          <w:szCs w:val="24"/>
          <w:lang w:val="en" w:eastAsia="en-GB"/>
        </w:rPr>
        <w:t xml:space="preserve"> Prehabilitation and Rehabilitation for people affected by Cancer.</w:t>
      </w:r>
    </w:p>
    <w:p w14:paraId="6342E234" w14:textId="77777777" w:rsidR="00A00A7C" w:rsidRDefault="00A00A7C" w:rsidP="00A00A7C">
      <w:pPr>
        <w:rPr>
          <w:color w:val="231F20"/>
          <w:sz w:val="24"/>
          <w:szCs w:val="24"/>
          <w:lang w:val="en" w:eastAsia="en-GB"/>
        </w:rPr>
      </w:pPr>
      <w:r>
        <w:rPr>
          <w:color w:val="231F20"/>
          <w:sz w:val="24"/>
          <w:szCs w:val="24"/>
          <w:lang w:val="en" w:eastAsia="en-GB"/>
        </w:rPr>
        <w:t>We are able to support individuals with the following nutritional concerns:</w:t>
      </w:r>
    </w:p>
    <w:p w14:paraId="17ECC447" w14:textId="77777777" w:rsidR="00A00A7C" w:rsidRDefault="00A00A7C" w:rsidP="00A00A7C">
      <w:pPr>
        <w:rPr>
          <w:color w:val="231F20"/>
          <w:sz w:val="24"/>
          <w:szCs w:val="24"/>
          <w:lang w:val="en" w:eastAsia="en-GB"/>
        </w:rPr>
      </w:pPr>
    </w:p>
    <w:p w14:paraId="71329408"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Coping with a poor appetite, or unintentional weight loss</w:t>
      </w:r>
    </w:p>
    <w:p w14:paraId="3C65F89C"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Urgent nutritional support for cancer/treatment related side-effects</w:t>
      </w:r>
    </w:p>
    <w:p w14:paraId="2EFF3C55"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Altered texture diets due to swallowing difficulty</w:t>
      </w:r>
    </w:p>
    <w:p w14:paraId="10BA638C"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Making dietary changes as a result of cancers affecting the digestive tract</w:t>
      </w:r>
    </w:p>
    <w:p w14:paraId="59899D17"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Managing weight following completion of cancer treatment – acceptance criteria will apply</w:t>
      </w:r>
    </w:p>
    <w:p w14:paraId="0F5C7425"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Specialist support for individuals with an upper gastrointestinal cancer</w:t>
      </w:r>
    </w:p>
    <w:p w14:paraId="68E05B6C" w14:textId="77777777" w:rsidR="00A00A7C" w:rsidRDefault="00A00A7C" w:rsidP="00A00A7C">
      <w:pPr>
        <w:pStyle w:val="ListParagraph"/>
        <w:numPr>
          <w:ilvl w:val="0"/>
          <w:numId w:val="19"/>
        </w:numPr>
        <w:rPr>
          <w:color w:val="231F20"/>
          <w:sz w:val="24"/>
          <w:szCs w:val="24"/>
          <w:lang w:val="en" w:eastAsia="en-GB"/>
        </w:rPr>
      </w:pPr>
      <w:r>
        <w:rPr>
          <w:color w:val="231F20"/>
          <w:sz w:val="24"/>
          <w:szCs w:val="24"/>
          <w:lang w:val="en" w:eastAsia="en-GB"/>
        </w:rPr>
        <w:t>Eating well to support your health for the future</w:t>
      </w:r>
    </w:p>
    <w:p w14:paraId="02202FFB" w14:textId="77777777" w:rsidR="00A00A7C" w:rsidRDefault="00A00A7C" w:rsidP="00A00A7C">
      <w:pPr>
        <w:pStyle w:val="ListParagraph"/>
        <w:ind w:left="1080"/>
        <w:rPr>
          <w:color w:val="231F20"/>
          <w:sz w:val="24"/>
          <w:szCs w:val="24"/>
          <w:lang w:val="en" w:eastAsia="en-GB"/>
        </w:rPr>
      </w:pPr>
    </w:p>
    <w:p w14:paraId="27DD5952" w14:textId="55F24044" w:rsidR="00A00A7C" w:rsidRDefault="00A00A7C" w:rsidP="00A00A7C">
      <w:pPr>
        <w:rPr>
          <w:color w:val="231F20"/>
          <w:sz w:val="24"/>
          <w:szCs w:val="24"/>
          <w:lang w:val="en" w:eastAsia="en-GB"/>
        </w:rPr>
      </w:pPr>
      <w:r>
        <w:rPr>
          <w:color w:val="231F20"/>
          <w:sz w:val="24"/>
          <w:szCs w:val="24"/>
          <w:lang w:val="en" w:eastAsia="en-GB"/>
        </w:rPr>
        <w:t xml:space="preserve">Please see here for Professional Referral Form:  </w:t>
      </w:r>
      <w:bookmarkStart w:id="0" w:name="_MON_1749982280"/>
      <w:bookmarkEnd w:id="0"/>
      <w:r>
        <w:rPr>
          <w:color w:val="231F20"/>
          <w:sz w:val="24"/>
          <w:szCs w:val="24"/>
          <w:lang w:val="en" w:eastAsia="en-GB"/>
        </w:rPr>
        <w:object w:dxaOrig="1539" w:dyaOrig="997" w14:anchorId="49984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3pt" o:ole="">
            <v:imagedata r:id="rId17" o:title=""/>
          </v:shape>
          <o:OLEObject Type="Embed" ProgID="Word.Document.12" ShapeID="_x0000_i1025" DrawAspect="Icon" ObjectID="_1749984581" r:id="rId18">
            <o:FieldCodes>\s</o:FieldCodes>
          </o:OLEObject>
        </w:object>
      </w:r>
    </w:p>
    <w:p w14:paraId="71B86DEA" w14:textId="77777777" w:rsidR="00A00A7C" w:rsidRDefault="00A00A7C" w:rsidP="00A00A7C">
      <w:pPr>
        <w:rPr>
          <w:color w:val="231F20"/>
          <w:sz w:val="24"/>
          <w:szCs w:val="24"/>
          <w:lang w:val="en" w:eastAsia="en-GB"/>
        </w:rPr>
      </w:pPr>
    </w:p>
    <w:p w14:paraId="4B5D93A8" w14:textId="77777777" w:rsidR="00A00A7C" w:rsidRDefault="00A00A7C" w:rsidP="00A00A7C">
      <w:pPr>
        <w:rPr>
          <w:color w:val="231F20"/>
          <w:sz w:val="24"/>
          <w:szCs w:val="24"/>
          <w:lang w:val="en" w:eastAsia="en-GB"/>
        </w:rPr>
      </w:pPr>
      <w:r>
        <w:rPr>
          <w:color w:val="231F20"/>
          <w:sz w:val="24"/>
          <w:szCs w:val="24"/>
          <w:lang w:val="en" w:eastAsia="en-GB"/>
        </w:rPr>
        <w:t xml:space="preserve">Email : </w:t>
      </w:r>
      <w:hyperlink r:id="rId19" w:history="1">
        <w:r>
          <w:rPr>
            <w:rStyle w:val="Hyperlink"/>
            <w:sz w:val="24"/>
            <w:szCs w:val="24"/>
            <w:lang w:val="en" w:eastAsia="en-GB"/>
          </w:rPr>
          <w:t>proactiveproject@nbt.nhs.uk</w:t>
        </w:r>
      </w:hyperlink>
    </w:p>
    <w:p w14:paraId="5FF6725D" w14:textId="77777777" w:rsidR="00A00A7C" w:rsidRDefault="00A00A7C" w:rsidP="00A00A7C">
      <w:pPr>
        <w:rPr>
          <w:color w:val="231F20"/>
          <w:sz w:val="24"/>
          <w:szCs w:val="24"/>
          <w:lang w:val="en" w:eastAsia="en-GB"/>
        </w:rPr>
      </w:pPr>
      <w:r>
        <w:rPr>
          <w:color w:val="231F20"/>
          <w:sz w:val="24"/>
          <w:szCs w:val="24"/>
          <w:lang w:val="en" w:eastAsia="en-GB"/>
        </w:rPr>
        <w:t>Telephone: 0117 414 5550</w:t>
      </w:r>
    </w:p>
    <w:p w14:paraId="5F36945B" w14:textId="77777777" w:rsidR="002A7653" w:rsidRDefault="002A7653" w:rsidP="00A00A7C">
      <w:pPr>
        <w:rPr>
          <w:color w:val="231F20"/>
          <w:sz w:val="24"/>
          <w:szCs w:val="24"/>
          <w:lang w:val="en" w:eastAsia="en-GB"/>
        </w:rPr>
      </w:pPr>
    </w:p>
    <w:p w14:paraId="0080228B" w14:textId="70C61FD0" w:rsidR="008A0319" w:rsidRPr="00555DCF" w:rsidRDefault="0048456D" w:rsidP="008A0319">
      <w:pPr>
        <w:jc w:val="both"/>
        <w:rPr>
          <w:b/>
          <w:bCs/>
          <w:color w:val="7030A0"/>
          <w:sz w:val="28"/>
          <w:szCs w:val="28"/>
          <w:lang w:val="en"/>
        </w:rPr>
      </w:pPr>
      <w:r w:rsidRPr="00555DCF">
        <w:rPr>
          <w:b/>
          <w:bCs/>
          <w:color w:val="7030A0"/>
          <w:sz w:val="28"/>
          <w:szCs w:val="28"/>
        </w:rPr>
        <w:lastRenderedPageBreak/>
        <w:t>F</w:t>
      </w:r>
      <w:r w:rsidR="008A0319" w:rsidRPr="00555DCF">
        <w:rPr>
          <w:b/>
          <w:bCs/>
          <w:color w:val="7030A0"/>
          <w:sz w:val="28"/>
          <w:szCs w:val="28"/>
        </w:rPr>
        <w:t xml:space="preserve">or </w:t>
      </w:r>
      <w:r w:rsidR="008A0319" w:rsidRPr="00555DCF">
        <w:rPr>
          <w:b/>
          <w:bCs/>
          <w:color w:val="7030A0"/>
          <w:sz w:val="28"/>
          <w:szCs w:val="28"/>
          <w:lang w:val="en"/>
        </w:rPr>
        <w:t>Kidney Failure/Renal referrals:</w:t>
      </w:r>
    </w:p>
    <w:p w14:paraId="495BBEF2" w14:textId="77777777" w:rsidR="008A0319" w:rsidRPr="00555DCF" w:rsidRDefault="008A0319" w:rsidP="008A0319">
      <w:pPr>
        <w:jc w:val="both"/>
        <w:rPr>
          <w:color w:val="000000"/>
          <w:sz w:val="24"/>
          <w:szCs w:val="24"/>
        </w:rPr>
      </w:pPr>
      <w:r w:rsidRPr="00555DCF">
        <w:rPr>
          <w:color w:val="000000"/>
          <w:sz w:val="24"/>
          <w:szCs w:val="24"/>
        </w:rPr>
        <w:t xml:space="preserve">The specialist renal dietitians can only accept referrals for patients </w:t>
      </w:r>
      <w:r w:rsidRPr="00555DCF">
        <w:rPr>
          <w:b/>
          <w:bCs/>
          <w:color w:val="000000"/>
          <w:sz w:val="24"/>
          <w:szCs w:val="24"/>
          <w:u w:val="single"/>
        </w:rPr>
        <w:t>with an eGFR of less than 20ml/min, under the ongoing care of the nephrologists at Southmead Hospital</w:t>
      </w:r>
      <w:r w:rsidRPr="00555DCF">
        <w:rPr>
          <w:color w:val="000000"/>
          <w:sz w:val="24"/>
          <w:szCs w:val="24"/>
        </w:rPr>
        <w:t xml:space="preserve">. The patient will be offered a consultation via phone, video or face to face.  </w:t>
      </w:r>
    </w:p>
    <w:p w14:paraId="5FB918BD" w14:textId="77777777" w:rsidR="008A0319" w:rsidRPr="00555DCF" w:rsidRDefault="008A0319" w:rsidP="008A0319">
      <w:pPr>
        <w:jc w:val="both"/>
        <w:rPr>
          <w:color w:val="000000"/>
          <w:sz w:val="24"/>
          <w:szCs w:val="24"/>
          <w:lang w:val="en"/>
        </w:rPr>
      </w:pPr>
      <w:r w:rsidRPr="00555DCF">
        <w:rPr>
          <w:color w:val="000000"/>
          <w:sz w:val="24"/>
          <w:szCs w:val="24"/>
          <w:lang w:val="en"/>
        </w:rPr>
        <w:t>For patients with an eGFR of above 20ml/min you may wish to signpost them to the following websites for more information</w:t>
      </w:r>
      <w:r w:rsidRPr="00555DCF">
        <w:rPr>
          <w:color w:val="1F497D"/>
          <w:sz w:val="24"/>
          <w:szCs w:val="24"/>
          <w:lang w:val="en"/>
        </w:rPr>
        <w:t>:</w:t>
      </w:r>
      <w:r w:rsidRPr="00555DCF">
        <w:rPr>
          <w:color w:val="000000"/>
          <w:sz w:val="24"/>
          <w:szCs w:val="24"/>
          <w:lang w:val="en"/>
        </w:rPr>
        <w:t xml:space="preserve"> </w:t>
      </w:r>
    </w:p>
    <w:p w14:paraId="5AF6E7CB" w14:textId="77777777" w:rsidR="008A0319" w:rsidRPr="00555DCF" w:rsidRDefault="008A0319" w:rsidP="008A0319">
      <w:pPr>
        <w:pStyle w:val="ListParagraph"/>
        <w:numPr>
          <w:ilvl w:val="0"/>
          <w:numId w:val="13"/>
        </w:numPr>
        <w:jc w:val="both"/>
        <w:rPr>
          <w:color w:val="000000"/>
          <w:sz w:val="24"/>
          <w:szCs w:val="24"/>
          <w:lang w:val="en"/>
        </w:rPr>
      </w:pPr>
      <w:r w:rsidRPr="00555DCF">
        <w:rPr>
          <w:sz w:val="24"/>
          <w:szCs w:val="24"/>
          <w:lang w:val="en"/>
        </w:rPr>
        <w:t xml:space="preserve">North Bristol NHS Renal Dietitians Fact Sheets </w:t>
      </w:r>
      <w:hyperlink r:id="rId20" w:history="1">
        <w:r w:rsidRPr="00555DCF">
          <w:rPr>
            <w:rStyle w:val="Hyperlink"/>
            <w:sz w:val="24"/>
            <w:szCs w:val="24"/>
          </w:rPr>
          <w:t>Nutrition &amp; Dietetics: Kidney Disease and Food | North Bristol NHS Trust (nbt.nhs.uk)</w:t>
        </w:r>
      </w:hyperlink>
      <w:r w:rsidRPr="00555DCF">
        <w:rPr>
          <w:color w:val="000000"/>
          <w:sz w:val="24"/>
          <w:szCs w:val="24"/>
        </w:rPr>
        <w:t xml:space="preserve"> </w:t>
      </w:r>
    </w:p>
    <w:p w14:paraId="4D274E7B" w14:textId="77777777" w:rsidR="008A0319" w:rsidRPr="00555DCF" w:rsidRDefault="008A0319" w:rsidP="008A0319">
      <w:pPr>
        <w:pStyle w:val="ListParagraph"/>
        <w:numPr>
          <w:ilvl w:val="0"/>
          <w:numId w:val="13"/>
        </w:numPr>
        <w:jc w:val="both"/>
        <w:rPr>
          <w:color w:val="000000"/>
          <w:sz w:val="24"/>
          <w:szCs w:val="24"/>
          <w:lang w:val="en"/>
        </w:rPr>
      </w:pPr>
      <w:r w:rsidRPr="00555DCF">
        <w:rPr>
          <w:sz w:val="24"/>
          <w:szCs w:val="24"/>
          <w:lang w:val="en"/>
        </w:rPr>
        <w:t xml:space="preserve">Kidney Care UK </w:t>
      </w:r>
      <w:hyperlink r:id="rId21" w:tgtFrame="_blank" w:history="1">
        <w:r w:rsidRPr="00555DCF">
          <w:rPr>
            <w:rStyle w:val="Hyperlink"/>
            <w:rFonts w:ascii="Helvetica" w:hAnsi="Helvetica" w:cs="Helvetica"/>
            <w:sz w:val="24"/>
            <w:szCs w:val="24"/>
            <w:shd w:val="clear" w:color="auto" w:fill="FFFFFF"/>
          </w:rPr>
          <w:t>https://www.kidneycareuk.org/about-kidney-health/living-kidney-disease</w:t>
        </w:r>
      </w:hyperlink>
      <w:r w:rsidRPr="00555DCF">
        <w:rPr>
          <w:color w:val="1F497D"/>
          <w:sz w:val="24"/>
          <w:szCs w:val="24"/>
          <w:lang w:val="en"/>
        </w:rPr>
        <w:t>]</w:t>
      </w:r>
      <w:r w:rsidRPr="00555DCF">
        <w:rPr>
          <w:color w:val="000000"/>
          <w:sz w:val="24"/>
          <w:szCs w:val="24"/>
          <w:lang w:val="en"/>
        </w:rPr>
        <w:t xml:space="preserve"> </w:t>
      </w:r>
    </w:p>
    <w:p w14:paraId="77FAA88F" w14:textId="77777777" w:rsidR="008A0319" w:rsidRPr="00555DCF" w:rsidRDefault="008A0319" w:rsidP="008A0319">
      <w:pPr>
        <w:jc w:val="both"/>
        <w:rPr>
          <w:color w:val="000000"/>
          <w:sz w:val="24"/>
          <w:szCs w:val="24"/>
          <w:lang w:val="en"/>
        </w:rPr>
      </w:pPr>
      <w:r w:rsidRPr="00555DCF">
        <w:rPr>
          <w:color w:val="000000"/>
          <w:sz w:val="24"/>
          <w:szCs w:val="24"/>
          <w:lang w:val="en"/>
        </w:rPr>
        <w:t xml:space="preserve">Patients with kidney disease </w:t>
      </w:r>
      <w:r w:rsidRPr="00555DCF">
        <w:rPr>
          <w:b/>
          <w:bCs/>
          <w:color w:val="000000"/>
          <w:sz w:val="24"/>
          <w:szCs w:val="24"/>
          <w:lang w:val="en"/>
        </w:rPr>
        <w:t>may be at higher risk of malnutrition</w:t>
      </w:r>
      <w:r w:rsidRPr="00555DCF">
        <w:rPr>
          <w:color w:val="000000"/>
          <w:sz w:val="24"/>
          <w:szCs w:val="24"/>
          <w:lang w:val="en"/>
        </w:rPr>
        <w:t>, so please refer to local guidelines for referral to community dietetics. If within BNSSG then please find a link here to nutrition &amp; dietetic services in the community</w:t>
      </w:r>
      <w:r w:rsidRPr="00555DCF">
        <w:rPr>
          <w:color w:val="1F497D"/>
          <w:sz w:val="24"/>
          <w:szCs w:val="24"/>
          <w:lang w:val="en"/>
        </w:rPr>
        <w:t xml:space="preserve">. </w:t>
      </w:r>
      <w:r w:rsidRPr="00555DCF">
        <w:rPr>
          <w:color w:val="000000"/>
          <w:sz w:val="24"/>
          <w:szCs w:val="24"/>
          <w:lang w:val="en"/>
        </w:rPr>
        <w:t>(</w:t>
      </w:r>
      <w:hyperlink r:id="rId22" w:history="1">
        <w:r w:rsidRPr="00555DCF">
          <w:rPr>
            <w:rStyle w:val="Hyperlink"/>
            <w:sz w:val="24"/>
            <w:szCs w:val="24"/>
          </w:rPr>
          <w:t>https://remedy.bnssgccg.nhs.uk/media/4707/nutrition-and-dietetcisreferral-and-criteria-pathway-v5-a3.pdf</w:t>
        </w:r>
      </w:hyperlink>
      <w:r w:rsidRPr="00555DCF">
        <w:rPr>
          <w:color w:val="000000"/>
          <w:sz w:val="24"/>
          <w:szCs w:val="24"/>
          <w:lang w:val="en"/>
        </w:rPr>
        <w:t>).  </w:t>
      </w:r>
    </w:p>
    <w:p w14:paraId="58D6466D" w14:textId="536984A0" w:rsidR="00BD192E" w:rsidRPr="00555DCF" w:rsidRDefault="00BD192E" w:rsidP="00BD192E">
      <w:pPr>
        <w:jc w:val="both"/>
        <w:rPr>
          <w:rFonts w:cstheme="minorHAnsi"/>
          <w:b/>
          <w:bCs/>
          <w:sz w:val="32"/>
          <w:szCs w:val="32"/>
        </w:rPr>
      </w:pPr>
      <w:r w:rsidRPr="00555DCF">
        <w:rPr>
          <w:rFonts w:cstheme="minorHAnsi"/>
          <w:b/>
          <w:bCs/>
          <w:sz w:val="32"/>
          <w:szCs w:val="32"/>
        </w:rPr>
        <w:t>Other Community Dietetic Teams:</w:t>
      </w:r>
    </w:p>
    <w:p w14:paraId="6A0CF157" w14:textId="0639C14F" w:rsidR="0041046B" w:rsidRPr="00555DCF" w:rsidRDefault="0041046B" w:rsidP="00BD192E">
      <w:pPr>
        <w:jc w:val="both"/>
        <w:rPr>
          <w:rFonts w:cstheme="minorHAnsi"/>
          <w:b/>
          <w:bCs/>
          <w:color w:val="7030A0"/>
          <w:sz w:val="28"/>
          <w:szCs w:val="28"/>
        </w:rPr>
      </w:pPr>
      <w:r w:rsidRPr="00555DCF">
        <w:rPr>
          <w:rFonts w:cstheme="minorHAnsi"/>
          <w:b/>
          <w:bCs/>
          <w:color w:val="7030A0"/>
          <w:sz w:val="28"/>
          <w:szCs w:val="28"/>
        </w:rPr>
        <w:t>For Weight Management referrals:</w:t>
      </w:r>
    </w:p>
    <w:p w14:paraId="2F589BDD" w14:textId="309A5539" w:rsidR="00BD192E" w:rsidRPr="00555DCF" w:rsidRDefault="00BD192E" w:rsidP="00BD192E">
      <w:pPr>
        <w:jc w:val="both"/>
        <w:rPr>
          <w:rFonts w:cstheme="minorHAnsi"/>
          <w:sz w:val="24"/>
          <w:szCs w:val="24"/>
        </w:rPr>
      </w:pPr>
      <w:r w:rsidRPr="00555DCF">
        <w:rPr>
          <w:rFonts w:cstheme="minorHAnsi"/>
          <w:sz w:val="24"/>
          <w:szCs w:val="24"/>
        </w:rPr>
        <w:t xml:space="preserve">For </w:t>
      </w:r>
      <w:r w:rsidRPr="00555DCF">
        <w:rPr>
          <w:rFonts w:cstheme="minorHAnsi"/>
          <w:b/>
          <w:bCs/>
          <w:sz w:val="24"/>
          <w:szCs w:val="24"/>
        </w:rPr>
        <w:t>weight management</w:t>
      </w:r>
      <w:r w:rsidRPr="00555DCF">
        <w:rPr>
          <w:rFonts w:cstheme="minorHAnsi"/>
          <w:sz w:val="24"/>
          <w:szCs w:val="24"/>
        </w:rPr>
        <w:t xml:space="preserve"> (Tier 3 or 4) please refer to the North Bristol Centre for Weight Loss, Metabolic &amp; Bariatric Surgery. The referral criteria and GP referral forms can be found on the</w:t>
      </w:r>
      <w:r w:rsidR="0048456D" w:rsidRPr="00555DCF">
        <w:rPr>
          <w:rFonts w:cstheme="minorHAnsi"/>
          <w:sz w:val="24"/>
          <w:szCs w:val="24"/>
        </w:rPr>
        <w:t xml:space="preserve"> </w:t>
      </w:r>
      <w:hyperlink r:id="rId23" w:history="1">
        <w:r w:rsidR="0048456D" w:rsidRPr="00555DCF">
          <w:rPr>
            <w:rStyle w:val="Hyperlink"/>
            <w:sz w:val="24"/>
            <w:szCs w:val="24"/>
          </w:rPr>
          <w:t>Bristol Weight Management and Bariatric Service (BWMBS) - For Clinicians</w:t>
        </w:r>
      </w:hyperlink>
      <w:r w:rsidRPr="00555DCF">
        <w:rPr>
          <w:rFonts w:cstheme="minorHAnsi"/>
          <w:sz w:val="24"/>
          <w:szCs w:val="24"/>
        </w:rPr>
        <w:t xml:space="preserve">. NBT consultants should refer via e-referrals.  </w:t>
      </w:r>
    </w:p>
    <w:p w14:paraId="6450BD9B" w14:textId="5F3CD79D" w:rsidR="0041046B" w:rsidRPr="00555DCF" w:rsidRDefault="0041046B" w:rsidP="0041046B">
      <w:pPr>
        <w:jc w:val="both"/>
        <w:rPr>
          <w:rFonts w:cstheme="minorHAnsi"/>
          <w:b/>
          <w:bCs/>
          <w:color w:val="7030A0"/>
          <w:sz w:val="28"/>
          <w:szCs w:val="28"/>
          <w:lang w:val="en"/>
        </w:rPr>
      </w:pPr>
      <w:r w:rsidRPr="00555DCF">
        <w:rPr>
          <w:rFonts w:cstheme="minorHAnsi"/>
          <w:b/>
          <w:bCs/>
          <w:color w:val="7030A0"/>
          <w:sz w:val="28"/>
          <w:szCs w:val="28"/>
        </w:rPr>
        <w:t xml:space="preserve">For </w:t>
      </w:r>
      <w:r w:rsidRPr="00555DCF">
        <w:rPr>
          <w:rFonts w:cstheme="minorHAnsi"/>
          <w:b/>
          <w:bCs/>
          <w:color w:val="7030A0"/>
          <w:sz w:val="28"/>
          <w:szCs w:val="28"/>
          <w:lang w:val="en"/>
        </w:rPr>
        <w:t>Diabetes referrals:</w:t>
      </w:r>
    </w:p>
    <w:p w14:paraId="0886D73A" w14:textId="58C21925" w:rsidR="0041046B" w:rsidRDefault="0041046B" w:rsidP="0041046B">
      <w:pPr>
        <w:jc w:val="both"/>
        <w:rPr>
          <w:rFonts w:cstheme="minorHAnsi"/>
          <w:sz w:val="24"/>
          <w:szCs w:val="24"/>
        </w:rPr>
      </w:pPr>
      <w:r w:rsidRPr="00555DCF">
        <w:rPr>
          <w:rFonts w:cstheme="minorHAnsi"/>
          <w:sz w:val="24"/>
          <w:szCs w:val="24"/>
        </w:rPr>
        <w:t xml:space="preserve">If you are a clinician looking to refer a patient, please see </w:t>
      </w:r>
      <w:hyperlink r:id="rId24" w:history="1">
        <w:r w:rsidRPr="00555DCF">
          <w:rPr>
            <w:rStyle w:val="Hyperlink"/>
            <w:rFonts w:cstheme="minorHAnsi"/>
            <w:sz w:val="24"/>
            <w:szCs w:val="24"/>
          </w:rPr>
          <w:t>indications</w:t>
        </w:r>
      </w:hyperlink>
      <w:r w:rsidRPr="00555DCF">
        <w:rPr>
          <w:rFonts w:cstheme="minorHAnsi"/>
          <w:sz w:val="24"/>
          <w:szCs w:val="24"/>
        </w:rPr>
        <w:t xml:space="preserve"> for referral to North Bristol Trust’s Multi-disciplinary Diabetes Clinics  on the </w:t>
      </w:r>
      <w:hyperlink r:id="rId25" w:history="1">
        <w:r w:rsidRPr="00555DCF">
          <w:rPr>
            <w:rStyle w:val="Hyperlink"/>
            <w:rFonts w:cstheme="minorHAnsi"/>
            <w:sz w:val="24"/>
            <w:szCs w:val="24"/>
          </w:rPr>
          <w:t>Diabetes &amp; Endocrinology - For Clinicians</w:t>
        </w:r>
      </w:hyperlink>
      <w:r w:rsidRPr="00555DCF">
        <w:rPr>
          <w:rFonts w:cstheme="minorHAnsi"/>
          <w:sz w:val="24"/>
          <w:szCs w:val="24"/>
        </w:rPr>
        <w:t xml:space="preserve"> page </w:t>
      </w:r>
    </w:p>
    <w:p w14:paraId="096D2A1C" w14:textId="12C40847" w:rsidR="00BD192E" w:rsidRPr="00555DCF" w:rsidRDefault="00BD192E" w:rsidP="00BD192E">
      <w:pPr>
        <w:jc w:val="both"/>
        <w:rPr>
          <w:rFonts w:cstheme="minorHAnsi"/>
          <w:b/>
          <w:bCs/>
          <w:color w:val="7030A0"/>
          <w:sz w:val="28"/>
          <w:szCs w:val="28"/>
        </w:rPr>
      </w:pPr>
      <w:r w:rsidRPr="00555DCF">
        <w:rPr>
          <w:rFonts w:cstheme="minorHAnsi"/>
          <w:b/>
          <w:bCs/>
          <w:color w:val="7030A0"/>
          <w:sz w:val="28"/>
          <w:szCs w:val="28"/>
        </w:rPr>
        <w:t xml:space="preserve">For </w:t>
      </w:r>
      <w:r w:rsidR="0041046B" w:rsidRPr="00555DCF">
        <w:rPr>
          <w:rFonts w:cstheme="minorHAnsi"/>
          <w:b/>
          <w:bCs/>
          <w:color w:val="7030A0"/>
          <w:sz w:val="28"/>
          <w:szCs w:val="28"/>
        </w:rPr>
        <w:t>E</w:t>
      </w:r>
      <w:r w:rsidRPr="00555DCF">
        <w:rPr>
          <w:rFonts w:cstheme="minorHAnsi"/>
          <w:b/>
          <w:bCs/>
          <w:color w:val="7030A0"/>
          <w:sz w:val="28"/>
          <w:szCs w:val="28"/>
        </w:rPr>
        <w:t xml:space="preserve">ating </w:t>
      </w:r>
      <w:r w:rsidR="0041046B" w:rsidRPr="00555DCF">
        <w:rPr>
          <w:rFonts w:cstheme="minorHAnsi"/>
          <w:b/>
          <w:bCs/>
          <w:color w:val="7030A0"/>
          <w:sz w:val="28"/>
          <w:szCs w:val="28"/>
        </w:rPr>
        <w:t>D</w:t>
      </w:r>
      <w:r w:rsidRPr="00555DCF">
        <w:rPr>
          <w:rFonts w:cstheme="minorHAnsi"/>
          <w:b/>
          <w:bCs/>
          <w:color w:val="7030A0"/>
          <w:sz w:val="28"/>
          <w:szCs w:val="28"/>
        </w:rPr>
        <w:t>isorder</w:t>
      </w:r>
      <w:r w:rsidR="0041046B" w:rsidRPr="00555DCF">
        <w:rPr>
          <w:rFonts w:cstheme="minorHAnsi"/>
          <w:b/>
          <w:bCs/>
          <w:color w:val="7030A0"/>
          <w:sz w:val="28"/>
          <w:szCs w:val="28"/>
        </w:rPr>
        <w:t xml:space="preserve"> referrals</w:t>
      </w:r>
      <w:r w:rsidRPr="00555DCF">
        <w:rPr>
          <w:rFonts w:cstheme="minorHAnsi"/>
          <w:b/>
          <w:bCs/>
          <w:color w:val="7030A0"/>
          <w:sz w:val="28"/>
          <w:szCs w:val="28"/>
        </w:rPr>
        <w:t>:</w:t>
      </w:r>
    </w:p>
    <w:p w14:paraId="3BF53A88" w14:textId="77777777" w:rsidR="00BD192E" w:rsidRPr="00555DCF" w:rsidRDefault="00BD192E" w:rsidP="0041046B">
      <w:pPr>
        <w:numPr>
          <w:ilvl w:val="1"/>
          <w:numId w:val="14"/>
        </w:numPr>
        <w:ind w:left="360"/>
        <w:jc w:val="both"/>
        <w:rPr>
          <w:rFonts w:cstheme="minorHAnsi"/>
          <w:sz w:val="24"/>
          <w:szCs w:val="24"/>
        </w:rPr>
      </w:pPr>
      <w:r w:rsidRPr="00555DCF">
        <w:rPr>
          <w:rFonts w:cstheme="minorHAnsi"/>
          <w:sz w:val="24"/>
          <w:szCs w:val="24"/>
        </w:rPr>
        <w:t xml:space="preserve">If the patient is under 18 </w:t>
      </w:r>
    </w:p>
    <w:p w14:paraId="49D33C63" w14:textId="77777777" w:rsidR="00BD192E" w:rsidRPr="00555DCF" w:rsidRDefault="00BD192E" w:rsidP="0041046B">
      <w:pPr>
        <w:numPr>
          <w:ilvl w:val="2"/>
          <w:numId w:val="14"/>
        </w:numPr>
        <w:ind w:left="1080"/>
        <w:jc w:val="both"/>
        <w:rPr>
          <w:rFonts w:cstheme="minorHAnsi"/>
          <w:sz w:val="24"/>
          <w:szCs w:val="24"/>
        </w:rPr>
      </w:pPr>
      <w:r w:rsidRPr="00555DCF">
        <w:rPr>
          <w:rFonts w:cstheme="minorHAnsi"/>
          <w:sz w:val="24"/>
          <w:szCs w:val="24"/>
        </w:rPr>
        <w:t xml:space="preserve">Refer to the Department of Nutrition and Dietetics at Bristol Children’s Hospital. </w:t>
      </w:r>
    </w:p>
    <w:p w14:paraId="47C078A8" w14:textId="77777777" w:rsidR="00BD192E" w:rsidRPr="00555DCF" w:rsidRDefault="00BD192E" w:rsidP="0041046B">
      <w:pPr>
        <w:numPr>
          <w:ilvl w:val="1"/>
          <w:numId w:val="14"/>
        </w:numPr>
        <w:ind w:left="360"/>
        <w:jc w:val="both"/>
        <w:rPr>
          <w:rFonts w:cstheme="minorHAnsi"/>
          <w:sz w:val="24"/>
          <w:szCs w:val="24"/>
        </w:rPr>
      </w:pPr>
      <w:r w:rsidRPr="00555DCF">
        <w:rPr>
          <w:rFonts w:cstheme="minorHAnsi"/>
          <w:sz w:val="24"/>
          <w:szCs w:val="24"/>
        </w:rPr>
        <w:t xml:space="preserve">If the patient is over 18 </w:t>
      </w:r>
    </w:p>
    <w:p w14:paraId="3DE1A4F1" w14:textId="77777777" w:rsidR="00BD192E" w:rsidRPr="00555DCF" w:rsidRDefault="00BD192E" w:rsidP="0041046B">
      <w:pPr>
        <w:numPr>
          <w:ilvl w:val="2"/>
          <w:numId w:val="14"/>
        </w:numPr>
        <w:ind w:left="1080"/>
        <w:jc w:val="both"/>
        <w:rPr>
          <w:rFonts w:cstheme="minorHAnsi"/>
          <w:sz w:val="24"/>
          <w:szCs w:val="24"/>
        </w:rPr>
      </w:pPr>
      <w:r w:rsidRPr="00555DCF">
        <w:rPr>
          <w:rFonts w:cstheme="minorHAnsi"/>
          <w:sz w:val="24"/>
          <w:szCs w:val="24"/>
        </w:rPr>
        <w:t xml:space="preserve">GPs in North Somerset, South Gloucestershire or BANES should refer to the Primary Care Liaison Service. </w:t>
      </w:r>
    </w:p>
    <w:p w14:paraId="14817836" w14:textId="77777777" w:rsidR="00BD192E" w:rsidRPr="00555DCF" w:rsidRDefault="00BD192E" w:rsidP="0041046B">
      <w:pPr>
        <w:numPr>
          <w:ilvl w:val="2"/>
          <w:numId w:val="14"/>
        </w:numPr>
        <w:ind w:left="1080"/>
        <w:jc w:val="both"/>
        <w:rPr>
          <w:rFonts w:cstheme="minorHAnsi"/>
          <w:sz w:val="24"/>
          <w:szCs w:val="24"/>
        </w:rPr>
      </w:pPr>
      <w:r w:rsidRPr="00555DCF">
        <w:rPr>
          <w:rFonts w:cstheme="minorHAnsi"/>
          <w:sz w:val="24"/>
          <w:szCs w:val="24"/>
        </w:rPr>
        <w:lastRenderedPageBreak/>
        <w:t>GPs in Bristol should refer directly to the STEPs eating disorders service (0117 414 6645).</w:t>
      </w:r>
    </w:p>
    <w:p w14:paraId="40A5EE61" w14:textId="77777777" w:rsidR="00BD192E" w:rsidRPr="00555DCF" w:rsidRDefault="00BD192E" w:rsidP="0041046B">
      <w:pPr>
        <w:jc w:val="both"/>
        <w:rPr>
          <w:rFonts w:cstheme="minorHAnsi"/>
          <w:sz w:val="24"/>
          <w:szCs w:val="24"/>
        </w:rPr>
      </w:pPr>
      <w:r w:rsidRPr="00555DCF">
        <w:rPr>
          <w:rFonts w:cstheme="minorHAnsi"/>
          <w:sz w:val="24"/>
          <w:szCs w:val="24"/>
        </w:rPr>
        <w:t>For dietary advice relating to other mental health conditions, you can refer to the AWP dietitians if the patient is currently under AWP (</w:t>
      </w:r>
      <w:hyperlink r:id="rId26" w:history="1">
        <w:r w:rsidRPr="00555DCF">
          <w:rPr>
            <w:rStyle w:val="Hyperlink"/>
            <w:rFonts w:cstheme="minorHAnsi"/>
            <w:sz w:val="24"/>
            <w:szCs w:val="24"/>
            <w:u w:val="none"/>
          </w:rPr>
          <w:t>awp.dietetics@nhs.net</w:t>
        </w:r>
      </w:hyperlink>
      <w:r w:rsidRPr="00555DCF">
        <w:rPr>
          <w:rFonts w:cstheme="minorHAnsi"/>
          <w:sz w:val="24"/>
          <w:szCs w:val="24"/>
        </w:rPr>
        <w:t>)</w:t>
      </w:r>
    </w:p>
    <w:p w14:paraId="38B6E0A5" w14:textId="77777777" w:rsidR="00BD192E" w:rsidRPr="00555DCF" w:rsidRDefault="00BD192E" w:rsidP="00BD192E">
      <w:pPr>
        <w:jc w:val="both"/>
        <w:rPr>
          <w:rFonts w:cstheme="minorHAnsi"/>
          <w:b/>
          <w:bCs/>
          <w:sz w:val="24"/>
          <w:szCs w:val="24"/>
          <w:u w:val="single"/>
        </w:rPr>
      </w:pPr>
    </w:p>
    <w:p w14:paraId="5AD4F8E0" w14:textId="5D2820D4" w:rsidR="00BD192E" w:rsidRPr="00555DCF" w:rsidRDefault="00BD192E" w:rsidP="00BD192E">
      <w:pPr>
        <w:jc w:val="both"/>
        <w:rPr>
          <w:rFonts w:cstheme="minorHAnsi"/>
          <w:sz w:val="24"/>
          <w:szCs w:val="24"/>
        </w:rPr>
      </w:pPr>
      <w:r w:rsidRPr="00555DCF">
        <w:rPr>
          <w:rFonts w:cstheme="minorHAnsi"/>
          <w:sz w:val="24"/>
          <w:szCs w:val="24"/>
        </w:rPr>
        <w:t xml:space="preserve">  </w:t>
      </w:r>
    </w:p>
    <w:p w14:paraId="6AD4959B" w14:textId="77777777" w:rsidR="00036BEE" w:rsidRPr="00555DCF" w:rsidRDefault="00036BEE" w:rsidP="006D1922">
      <w:pPr>
        <w:jc w:val="both"/>
        <w:rPr>
          <w:rFonts w:cstheme="minorHAnsi"/>
          <w:sz w:val="24"/>
          <w:szCs w:val="24"/>
        </w:rPr>
      </w:pPr>
    </w:p>
    <w:sectPr w:rsidR="00036BEE" w:rsidRPr="00555DCF">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F920" w14:textId="77777777" w:rsidR="006E2B4A" w:rsidRDefault="006E2B4A" w:rsidP="004B48B4">
      <w:pPr>
        <w:spacing w:after="0" w:line="240" w:lineRule="auto"/>
      </w:pPr>
      <w:r>
        <w:separator/>
      </w:r>
    </w:p>
  </w:endnote>
  <w:endnote w:type="continuationSeparator" w:id="0">
    <w:p w14:paraId="1625F9B3" w14:textId="77777777" w:rsidR="006E2B4A" w:rsidRDefault="006E2B4A" w:rsidP="004B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495E" w14:textId="05F0FE70" w:rsidR="004B48B4" w:rsidRDefault="00A00A7C" w:rsidP="009E2809">
    <w:pPr>
      <w:pStyle w:val="Footer"/>
      <w:jc w:val="right"/>
    </w:pPr>
    <w:r>
      <w:rPr>
        <w:color w:val="000000" w:themeColor="text1"/>
        <w:sz w:val="24"/>
        <w:szCs w:val="24"/>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FE31" w14:textId="77777777" w:rsidR="006E2B4A" w:rsidRDefault="006E2B4A" w:rsidP="004B48B4">
      <w:pPr>
        <w:spacing w:after="0" w:line="240" w:lineRule="auto"/>
      </w:pPr>
      <w:r>
        <w:separator/>
      </w:r>
    </w:p>
  </w:footnote>
  <w:footnote w:type="continuationSeparator" w:id="0">
    <w:p w14:paraId="2396BF2E" w14:textId="77777777" w:rsidR="006E2B4A" w:rsidRDefault="006E2B4A" w:rsidP="004B4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B00"/>
    <w:multiLevelType w:val="hybridMultilevel"/>
    <w:tmpl w:val="59126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CB6F0E"/>
    <w:multiLevelType w:val="hybridMultilevel"/>
    <w:tmpl w:val="6200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23A2A"/>
    <w:multiLevelType w:val="hybridMultilevel"/>
    <w:tmpl w:val="953EF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42E86"/>
    <w:multiLevelType w:val="hybridMultilevel"/>
    <w:tmpl w:val="5834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A195F"/>
    <w:multiLevelType w:val="hybridMultilevel"/>
    <w:tmpl w:val="FD06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E4E7F"/>
    <w:multiLevelType w:val="hybridMultilevel"/>
    <w:tmpl w:val="25FA4EE2"/>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6" w15:restartNumberingAfterBreak="0">
    <w:nsid w:val="1308466C"/>
    <w:multiLevelType w:val="hybridMultilevel"/>
    <w:tmpl w:val="4EDE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16FB5"/>
    <w:multiLevelType w:val="multilevel"/>
    <w:tmpl w:val="9CB8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5459B"/>
    <w:multiLevelType w:val="hybridMultilevel"/>
    <w:tmpl w:val="F98C3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605D42"/>
    <w:multiLevelType w:val="hybridMultilevel"/>
    <w:tmpl w:val="F46E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A2F78"/>
    <w:multiLevelType w:val="hybridMultilevel"/>
    <w:tmpl w:val="717C4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850D57"/>
    <w:multiLevelType w:val="multilevel"/>
    <w:tmpl w:val="E176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079B2"/>
    <w:multiLevelType w:val="hybridMultilevel"/>
    <w:tmpl w:val="AD0C1412"/>
    <w:lvl w:ilvl="0" w:tplc="E11802E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66DE8"/>
    <w:multiLevelType w:val="hybridMultilevel"/>
    <w:tmpl w:val="D2B61B9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5159B1"/>
    <w:multiLevelType w:val="hybridMultilevel"/>
    <w:tmpl w:val="D2C8C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AA5152"/>
    <w:multiLevelType w:val="hybridMultilevel"/>
    <w:tmpl w:val="FFCE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00B87"/>
    <w:multiLevelType w:val="hybridMultilevel"/>
    <w:tmpl w:val="E954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334314">
    <w:abstractNumId w:val="11"/>
  </w:num>
  <w:num w:numId="2" w16cid:durableId="802042139">
    <w:abstractNumId w:val="7"/>
  </w:num>
  <w:num w:numId="3" w16cid:durableId="568081801">
    <w:abstractNumId w:val="14"/>
  </w:num>
  <w:num w:numId="4" w16cid:durableId="2101831920">
    <w:abstractNumId w:val="8"/>
  </w:num>
  <w:num w:numId="5" w16cid:durableId="294337172">
    <w:abstractNumId w:val="0"/>
  </w:num>
  <w:num w:numId="6" w16cid:durableId="182523611">
    <w:abstractNumId w:val="10"/>
  </w:num>
  <w:num w:numId="7" w16cid:durableId="1823160319">
    <w:abstractNumId w:val="4"/>
  </w:num>
  <w:num w:numId="8" w16cid:durableId="788280144">
    <w:abstractNumId w:val="3"/>
  </w:num>
  <w:num w:numId="9" w16cid:durableId="181289531">
    <w:abstractNumId w:val="6"/>
  </w:num>
  <w:num w:numId="10" w16cid:durableId="935672292">
    <w:abstractNumId w:val="16"/>
  </w:num>
  <w:num w:numId="11" w16cid:durableId="1013456076">
    <w:abstractNumId w:val="5"/>
  </w:num>
  <w:num w:numId="12" w16cid:durableId="622231134">
    <w:abstractNumId w:val="15"/>
  </w:num>
  <w:num w:numId="13" w16cid:durableId="1826316434">
    <w:abstractNumId w:val="6"/>
  </w:num>
  <w:num w:numId="14" w16cid:durableId="81338640">
    <w:abstractNumId w:val="13"/>
  </w:num>
  <w:num w:numId="15" w16cid:durableId="1056467608">
    <w:abstractNumId w:val="1"/>
  </w:num>
  <w:num w:numId="16" w16cid:durableId="258562434">
    <w:abstractNumId w:val="2"/>
  </w:num>
  <w:num w:numId="17" w16cid:durableId="1386298210">
    <w:abstractNumId w:val="9"/>
  </w:num>
  <w:num w:numId="18" w16cid:durableId="2054502720">
    <w:abstractNumId w:val="12"/>
  </w:num>
  <w:num w:numId="19" w16cid:durableId="1606232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64"/>
    <w:rsid w:val="00027118"/>
    <w:rsid w:val="00032919"/>
    <w:rsid w:val="00036BEE"/>
    <w:rsid w:val="00123764"/>
    <w:rsid w:val="001326CE"/>
    <w:rsid w:val="001B5ECB"/>
    <w:rsid w:val="00201029"/>
    <w:rsid w:val="00267719"/>
    <w:rsid w:val="002A7653"/>
    <w:rsid w:val="002F5890"/>
    <w:rsid w:val="00302E46"/>
    <w:rsid w:val="00317496"/>
    <w:rsid w:val="003200E0"/>
    <w:rsid w:val="003419A5"/>
    <w:rsid w:val="003942F2"/>
    <w:rsid w:val="003C58EF"/>
    <w:rsid w:val="003D4032"/>
    <w:rsid w:val="0041046B"/>
    <w:rsid w:val="00437417"/>
    <w:rsid w:val="0048456D"/>
    <w:rsid w:val="00496649"/>
    <w:rsid w:val="004B48B4"/>
    <w:rsid w:val="00522B69"/>
    <w:rsid w:val="0052798D"/>
    <w:rsid w:val="00540C2D"/>
    <w:rsid w:val="0055274C"/>
    <w:rsid w:val="00552AEC"/>
    <w:rsid w:val="00555DCF"/>
    <w:rsid w:val="00592243"/>
    <w:rsid w:val="005E416A"/>
    <w:rsid w:val="00683821"/>
    <w:rsid w:val="00691047"/>
    <w:rsid w:val="006D1922"/>
    <w:rsid w:val="006D2C80"/>
    <w:rsid w:val="006D3AEB"/>
    <w:rsid w:val="006E0F18"/>
    <w:rsid w:val="006E2B4A"/>
    <w:rsid w:val="0070173D"/>
    <w:rsid w:val="00734D63"/>
    <w:rsid w:val="00772AF9"/>
    <w:rsid w:val="007919B3"/>
    <w:rsid w:val="00896C11"/>
    <w:rsid w:val="008A0319"/>
    <w:rsid w:val="008D3369"/>
    <w:rsid w:val="008E1A17"/>
    <w:rsid w:val="008E371B"/>
    <w:rsid w:val="00966989"/>
    <w:rsid w:val="009C3155"/>
    <w:rsid w:val="009D5C96"/>
    <w:rsid w:val="009E2809"/>
    <w:rsid w:val="00A00A7C"/>
    <w:rsid w:val="00A70DFD"/>
    <w:rsid w:val="00B0292E"/>
    <w:rsid w:val="00B646B5"/>
    <w:rsid w:val="00BC7634"/>
    <w:rsid w:val="00BD192E"/>
    <w:rsid w:val="00BD54FF"/>
    <w:rsid w:val="00C24430"/>
    <w:rsid w:val="00C27234"/>
    <w:rsid w:val="00C57517"/>
    <w:rsid w:val="00C77CF9"/>
    <w:rsid w:val="00CA371B"/>
    <w:rsid w:val="00E27180"/>
    <w:rsid w:val="00E350E6"/>
    <w:rsid w:val="00E97FFC"/>
    <w:rsid w:val="00EC079D"/>
    <w:rsid w:val="00F502DE"/>
    <w:rsid w:val="00F90C9E"/>
    <w:rsid w:val="00FA4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BC99"/>
  <w15:docId w15:val="{49DFFAE2-C668-4114-93B5-FBEF2124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496"/>
    <w:rPr>
      <w:color w:val="0000FF" w:themeColor="hyperlink"/>
      <w:u w:val="single"/>
    </w:rPr>
  </w:style>
  <w:style w:type="paragraph" w:styleId="ListParagraph">
    <w:name w:val="List Paragraph"/>
    <w:basedOn w:val="Normal"/>
    <w:uiPriority w:val="34"/>
    <w:qFormat/>
    <w:rsid w:val="00201029"/>
    <w:pPr>
      <w:ind w:left="720"/>
      <w:contextualSpacing/>
    </w:pPr>
    <w:rPr>
      <w:rFonts w:ascii="Calibri" w:hAnsi="Calibri" w:cs="Calibri"/>
    </w:rPr>
  </w:style>
  <w:style w:type="character" w:styleId="FollowedHyperlink">
    <w:name w:val="FollowedHyperlink"/>
    <w:basedOn w:val="DefaultParagraphFont"/>
    <w:uiPriority w:val="99"/>
    <w:semiHidden/>
    <w:unhideWhenUsed/>
    <w:rsid w:val="00BC7634"/>
    <w:rPr>
      <w:color w:val="800080" w:themeColor="followedHyperlink"/>
      <w:u w:val="single"/>
    </w:rPr>
  </w:style>
  <w:style w:type="character" w:styleId="UnresolvedMention">
    <w:name w:val="Unresolved Mention"/>
    <w:basedOn w:val="DefaultParagraphFont"/>
    <w:uiPriority w:val="99"/>
    <w:semiHidden/>
    <w:unhideWhenUsed/>
    <w:rsid w:val="00BD192E"/>
    <w:rPr>
      <w:color w:val="605E5C"/>
      <w:shd w:val="clear" w:color="auto" w:fill="E1DFDD"/>
    </w:rPr>
  </w:style>
  <w:style w:type="paragraph" w:styleId="NoSpacing">
    <w:name w:val="No Spacing"/>
    <w:uiPriority w:val="1"/>
    <w:qFormat/>
    <w:rsid w:val="00C24430"/>
    <w:pPr>
      <w:spacing w:after="0" w:line="240" w:lineRule="auto"/>
    </w:pPr>
  </w:style>
  <w:style w:type="paragraph" w:styleId="Header">
    <w:name w:val="header"/>
    <w:basedOn w:val="Normal"/>
    <w:link w:val="HeaderChar"/>
    <w:uiPriority w:val="99"/>
    <w:unhideWhenUsed/>
    <w:rsid w:val="004B4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8B4"/>
  </w:style>
  <w:style w:type="paragraph" w:styleId="Footer">
    <w:name w:val="footer"/>
    <w:basedOn w:val="Normal"/>
    <w:link w:val="FooterChar"/>
    <w:uiPriority w:val="99"/>
    <w:unhideWhenUsed/>
    <w:rsid w:val="004B4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775">
      <w:bodyDiv w:val="1"/>
      <w:marLeft w:val="0"/>
      <w:marRight w:val="0"/>
      <w:marTop w:val="0"/>
      <w:marBottom w:val="0"/>
      <w:divBdr>
        <w:top w:val="none" w:sz="0" w:space="0" w:color="auto"/>
        <w:left w:val="none" w:sz="0" w:space="0" w:color="auto"/>
        <w:bottom w:val="none" w:sz="0" w:space="0" w:color="auto"/>
        <w:right w:val="none" w:sz="0" w:space="0" w:color="auto"/>
      </w:divBdr>
      <w:divsChild>
        <w:div w:id="1581405814">
          <w:marLeft w:val="0"/>
          <w:marRight w:val="0"/>
          <w:marTop w:val="0"/>
          <w:marBottom w:val="0"/>
          <w:divBdr>
            <w:top w:val="none" w:sz="0" w:space="0" w:color="auto"/>
            <w:left w:val="none" w:sz="0" w:space="0" w:color="auto"/>
            <w:bottom w:val="none" w:sz="0" w:space="0" w:color="auto"/>
            <w:right w:val="none" w:sz="0" w:space="0" w:color="auto"/>
          </w:divBdr>
          <w:divsChild>
            <w:div w:id="1957633986">
              <w:marLeft w:val="0"/>
              <w:marRight w:val="0"/>
              <w:marTop w:val="0"/>
              <w:marBottom w:val="0"/>
              <w:divBdr>
                <w:top w:val="none" w:sz="0" w:space="0" w:color="auto"/>
                <w:left w:val="none" w:sz="0" w:space="0" w:color="auto"/>
                <w:bottom w:val="none" w:sz="0" w:space="0" w:color="auto"/>
                <w:right w:val="none" w:sz="0" w:space="0" w:color="auto"/>
              </w:divBdr>
              <w:divsChild>
                <w:div w:id="1664813513">
                  <w:marLeft w:val="-225"/>
                  <w:marRight w:val="-225"/>
                  <w:marTop w:val="0"/>
                  <w:marBottom w:val="0"/>
                  <w:divBdr>
                    <w:top w:val="none" w:sz="0" w:space="0" w:color="auto"/>
                    <w:left w:val="none" w:sz="0" w:space="0" w:color="auto"/>
                    <w:bottom w:val="none" w:sz="0" w:space="0" w:color="auto"/>
                    <w:right w:val="none" w:sz="0" w:space="0" w:color="auto"/>
                  </w:divBdr>
                  <w:divsChild>
                    <w:div w:id="34931151">
                      <w:marLeft w:val="0"/>
                      <w:marRight w:val="0"/>
                      <w:marTop w:val="0"/>
                      <w:marBottom w:val="0"/>
                      <w:divBdr>
                        <w:top w:val="none" w:sz="0" w:space="0" w:color="auto"/>
                        <w:left w:val="none" w:sz="0" w:space="0" w:color="auto"/>
                        <w:bottom w:val="none" w:sz="0" w:space="0" w:color="auto"/>
                        <w:right w:val="none" w:sz="0" w:space="0" w:color="auto"/>
                      </w:divBdr>
                      <w:divsChild>
                        <w:div w:id="6713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219391">
      <w:bodyDiv w:val="1"/>
      <w:marLeft w:val="0"/>
      <w:marRight w:val="0"/>
      <w:marTop w:val="0"/>
      <w:marBottom w:val="0"/>
      <w:divBdr>
        <w:top w:val="none" w:sz="0" w:space="0" w:color="auto"/>
        <w:left w:val="none" w:sz="0" w:space="0" w:color="auto"/>
        <w:bottom w:val="none" w:sz="0" w:space="0" w:color="auto"/>
        <w:right w:val="none" w:sz="0" w:space="0" w:color="auto"/>
      </w:divBdr>
    </w:div>
    <w:div w:id="530386082">
      <w:bodyDiv w:val="1"/>
      <w:marLeft w:val="0"/>
      <w:marRight w:val="0"/>
      <w:marTop w:val="0"/>
      <w:marBottom w:val="0"/>
      <w:divBdr>
        <w:top w:val="none" w:sz="0" w:space="0" w:color="auto"/>
        <w:left w:val="none" w:sz="0" w:space="0" w:color="auto"/>
        <w:bottom w:val="none" w:sz="0" w:space="0" w:color="auto"/>
        <w:right w:val="none" w:sz="0" w:space="0" w:color="auto"/>
      </w:divBdr>
    </w:div>
    <w:div w:id="669410258">
      <w:bodyDiv w:val="1"/>
      <w:marLeft w:val="0"/>
      <w:marRight w:val="0"/>
      <w:marTop w:val="0"/>
      <w:marBottom w:val="0"/>
      <w:divBdr>
        <w:top w:val="none" w:sz="0" w:space="0" w:color="auto"/>
        <w:left w:val="none" w:sz="0" w:space="0" w:color="auto"/>
        <w:bottom w:val="none" w:sz="0" w:space="0" w:color="auto"/>
        <w:right w:val="none" w:sz="0" w:space="0" w:color="auto"/>
      </w:divBdr>
    </w:div>
    <w:div w:id="950892548">
      <w:bodyDiv w:val="1"/>
      <w:marLeft w:val="0"/>
      <w:marRight w:val="0"/>
      <w:marTop w:val="0"/>
      <w:marBottom w:val="0"/>
      <w:divBdr>
        <w:top w:val="none" w:sz="0" w:space="0" w:color="auto"/>
        <w:left w:val="none" w:sz="0" w:space="0" w:color="auto"/>
        <w:bottom w:val="none" w:sz="0" w:space="0" w:color="auto"/>
        <w:right w:val="none" w:sz="0" w:space="0" w:color="auto"/>
      </w:divBdr>
    </w:div>
    <w:div w:id="1058356130">
      <w:bodyDiv w:val="1"/>
      <w:marLeft w:val="0"/>
      <w:marRight w:val="0"/>
      <w:marTop w:val="0"/>
      <w:marBottom w:val="0"/>
      <w:divBdr>
        <w:top w:val="none" w:sz="0" w:space="0" w:color="auto"/>
        <w:left w:val="none" w:sz="0" w:space="0" w:color="auto"/>
        <w:bottom w:val="none" w:sz="0" w:space="0" w:color="auto"/>
        <w:right w:val="none" w:sz="0" w:space="0" w:color="auto"/>
      </w:divBdr>
    </w:div>
    <w:div w:id="1111314016">
      <w:bodyDiv w:val="1"/>
      <w:marLeft w:val="0"/>
      <w:marRight w:val="0"/>
      <w:marTop w:val="0"/>
      <w:marBottom w:val="0"/>
      <w:divBdr>
        <w:top w:val="none" w:sz="0" w:space="0" w:color="auto"/>
        <w:left w:val="none" w:sz="0" w:space="0" w:color="auto"/>
        <w:bottom w:val="none" w:sz="0" w:space="0" w:color="auto"/>
        <w:right w:val="none" w:sz="0" w:space="0" w:color="auto"/>
      </w:divBdr>
    </w:div>
    <w:div w:id="1183742836">
      <w:bodyDiv w:val="1"/>
      <w:marLeft w:val="0"/>
      <w:marRight w:val="0"/>
      <w:marTop w:val="0"/>
      <w:marBottom w:val="0"/>
      <w:divBdr>
        <w:top w:val="none" w:sz="0" w:space="0" w:color="auto"/>
        <w:left w:val="none" w:sz="0" w:space="0" w:color="auto"/>
        <w:bottom w:val="none" w:sz="0" w:space="0" w:color="auto"/>
        <w:right w:val="none" w:sz="0" w:space="0" w:color="auto"/>
      </w:divBdr>
    </w:div>
    <w:div w:id="1255554288">
      <w:bodyDiv w:val="1"/>
      <w:marLeft w:val="0"/>
      <w:marRight w:val="0"/>
      <w:marTop w:val="0"/>
      <w:marBottom w:val="0"/>
      <w:divBdr>
        <w:top w:val="none" w:sz="0" w:space="0" w:color="auto"/>
        <w:left w:val="none" w:sz="0" w:space="0" w:color="auto"/>
        <w:bottom w:val="none" w:sz="0" w:space="0" w:color="auto"/>
        <w:right w:val="none" w:sz="0" w:space="0" w:color="auto"/>
      </w:divBdr>
    </w:div>
    <w:div w:id="1618098941">
      <w:bodyDiv w:val="1"/>
      <w:marLeft w:val="0"/>
      <w:marRight w:val="0"/>
      <w:marTop w:val="0"/>
      <w:marBottom w:val="0"/>
      <w:divBdr>
        <w:top w:val="none" w:sz="0" w:space="0" w:color="auto"/>
        <w:left w:val="none" w:sz="0" w:space="0" w:color="auto"/>
        <w:bottom w:val="none" w:sz="0" w:space="0" w:color="auto"/>
        <w:right w:val="none" w:sz="0" w:space="0" w:color="auto"/>
      </w:divBdr>
      <w:divsChild>
        <w:div w:id="1860074417">
          <w:marLeft w:val="0"/>
          <w:marRight w:val="0"/>
          <w:marTop w:val="0"/>
          <w:marBottom w:val="0"/>
          <w:divBdr>
            <w:top w:val="none" w:sz="0" w:space="0" w:color="auto"/>
            <w:left w:val="none" w:sz="0" w:space="0" w:color="auto"/>
            <w:bottom w:val="none" w:sz="0" w:space="0" w:color="auto"/>
            <w:right w:val="none" w:sz="0" w:space="0" w:color="auto"/>
          </w:divBdr>
          <w:divsChild>
            <w:div w:id="1150245116">
              <w:marLeft w:val="0"/>
              <w:marRight w:val="0"/>
              <w:marTop w:val="0"/>
              <w:marBottom w:val="0"/>
              <w:divBdr>
                <w:top w:val="none" w:sz="0" w:space="0" w:color="auto"/>
                <w:left w:val="none" w:sz="0" w:space="0" w:color="auto"/>
                <w:bottom w:val="none" w:sz="0" w:space="0" w:color="auto"/>
                <w:right w:val="none" w:sz="0" w:space="0" w:color="auto"/>
              </w:divBdr>
              <w:divsChild>
                <w:div w:id="1494905038">
                  <w:marLeft w:val="-225"/>
                  <w:marRight w:val="-225"/>
                  <w:marTop w:val="0"/>
                  <w:marBottom w:val="0"/>
                  <w:divBdr>
                    <w:top w:val="none" w:sz="0" w:space="0" w:color="auto"/>
                    <w:left w:val="none" w:sz="0" w:space="0" w:color="auto"/>
                    <w:bottom w:val="none" w:sz="0" w:space="0" w:color="auto"/>
                    <w:right w:val="none" w:sz="0" w:space="0" w:color="auto"/>
                  </w:divBdr>
                  <w:divsChild>
                    <w:div w:id="2080208349">
                      <w:marLeft w:val="0"/>
                      <w:marRight w:val="0"/>
                      <w:marTop w:val="0"/>
                      <w:marBottom w:val="0"/>
                      <w:divBdr>
                        <w:top w:val="none" w:sz="0" w:space="0" w:color="auto"/>
                        <w:left w:val="none" w:sz="0" w:space="0" w:color="auto"/>
                        <w:bottom w:val="none" w:sz="0" w:space="0" w:color="auto"/>
                        <w:right w:val="none" w:sz="0" w:space="0" w:color="auto"/>
                      </w:divBdr>
                      <w:divsChild>
                        <w:div w:id="1757287999">
                          <w:marLeft w:val="0"/>
                          <w:marRight w:val="0"/>
                          <w:marTop w:val="0"/>
                          <w:marBottom w:val="0"/>
                          <w:divBdr>
                            <w:top w:val="none" w:sz="0" w:space="0" w:color="auto"/>
                            <w:left w:val="none" w:sz="0" w:space="0" w:color="auto"/>
                            <w:bottom w:val="none" w:sz="0" w:space="0" w:color="auto"/>
                            <w:right w:val="none" w:sz="0" w:space="0" w:color="auto"/>
                          </w:divBdr>
                          <w:divsChild>
                            <w:div w:id="1079667529">
                              <w:marLeft w:val="0"/>
                              <w:marRight w:val="0"/>
                              <w:marTop w:val="0"/>
                              <w:marBottom w:val="0"/>
                              <w:divBdr>
                                <w:top w:val="none" w:sz="0" w:space="0" w:color="auto"/>
                                <w:left w:val="none" w:sz="0" w:space="0" w:color="auto"/>
                                <w:bottom w:val="none" w:sz="0" w:space="0" w:color="auto"/>
                                <w:right w:val="none" w:sz="0" w:space="0" w:color="auto"/>
                              </w:divBdr>
                              <w:divsChild>
                                <w:div w:id="1155605935">
                                  <w:marLeft w:val="-225"/>
                                  <w:marRight w:val="-225"/>
                                  <w:marTop w:val="0"/>
                                  <w:marBottom w:val="0"/>
                                  <w:divBdr>
                                    <w:top w:val="none" w:sz="0" w:space="0" w:color="auto"/>
                                    <w:left w:val="none" w:sz="0" w:space="0" w:color="auto"/>
                                    <w:bottom w:val="none" w:sz="0" w:space="0" w:color="auto"/>
                                    <w:right w:val="none" w:sz="0" w:space="0" w:color="auto"/>
                                  </w:divBdr>
                                  <w:divsChild>
                                    <w:div w:id="606273624">
                                      <w:marLeft w:val="0"/>
                                      <w:marRight w:val="0"/>
                                      <w:marTop w:val="0"/>
                                      <w:marBottom w:val="0"/>
                                      <w:divBdr>
                                        <w:top w:val="none" w:sz="0" w:space="0" w:color="auto"/>
                                        <w:left w:val="none" w:sz="0" w:space="0" w:color="auto"/>
                                        <w:bottom w:val="none" w:sz="0" w:space="0" w:color="auto"/>
                                        <w:right w:val="none" w:sz="0" w:space="0" w:color="auto"/>
                                      </w:divBdr>
                                      <w:divsChild>
                                        <w:div w:id="13334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958762">
      <w:bodyDiv w:val="1"/>
      <w:marLeft w:val="0"/>
      <w:marRight w:val="0"/>
      <w:marTop w:val="0"/>
      <w:marBottom w:val="0"/>
      <w:divBdr>
        <w:top w:val="none" w:sz="0" w:space="0" w:color="auto"/>
        <w:left w:val="none" w:sz="0" w:space="0" w:color="auto"/>
        <w:bottom w:val="none" w:sz="0" w:space="0" w:color="auto"/>
        <w:right w:val="none" w:sz="0" w:space="0" w:color="auto"/>
      </w:divBdr>
      <w:divsChild>
        <w:div w:id="747701114">
          <w:marLeft w:val="0"/>
          <w:marRight w:val="0"/>
          <w:marTop w:val="0"/>
          <w:marBottom w:val="0"/>
          <w:divBdr>
            <w:top w:val="none" w:sz="0" w:space="0" w:color="auto"/>
            <w:left w:val="none" w:sz="0" w:space="0" w:color="auto"/>
            <w:bottom w:val="none" w:sz="0" w:space="0" w:color="auto"/>
            <w:right w:val="none" w:sz="0" w:space="0" w:color="auto"/>
          </w:divBdr>
          <w:divsChild>
            <w:div w:id="1293632117">
              <w:marLeft w:val="0"/>
              <w:marRight w:val="0"/>
              <w:marTop w:val="0"/>
              <w:marBottom w:val="0"/>
              <w:divBdr>
                <w:top w:val="none" w:sz="0" w:space="0" w:color="auto"/>
                <w:left w:val="none" w:sz="0" w:space="0" w:color="auto"/>
                <w:bottom w:val="none" w:sz="0" w:space="0" w:color="auto"/>
                <w:right w:val="none" w:sz="0" w:space="0" w:color="auto"/>
              </w:divBdr>
              <w:divsChild>
                <w:div w:id="457794912">
                  <w:marLeft w:val="-225"/>
                  <w:marRight w:val="-225"/>
                  <w:marTop w:val="0"/>
                  <w:marBottom w:val="0"/>
                  <w:divBdr>
                    <w:top w:val="none" w:sz="0" w:space="0" w:color="auto"/>
                    <w:left w:val="none" w:sz="0" w:space="0" w:color="auto"/>
                    <w:bottom w:val="none" w:sz="0" w:space="0" w:color="auto"/>
                    <w:right w:val="none" w:sz="0" w:space="0" w:color="auto"/>
                  </w:divBdr>
                  <w:divsChild>
                    <w:div w:id="1418791991">
                      <w:marLeft w:val="0"/>
                      <w:marRight w:val="0"/>
                      <w:marTop w:val="0"/>
                      <w:marBottom w:val="0"/>
                      <w:divBdr>
                        <w:top w:val="none" w:sz="0" w:space="0" w:color="auto"/>
                        <w:left w:val="none" w:sz="0" w:space="0" w:color="auto"/>
                        <w:bottom w:val="none" w:sz="0" w:space="0" w:color="auto"/>
                        <w:right w:val="none" w:sz="0" w:space="0" w:color="auto"/>
                      </w:divBdr>
                      <w:divsChild>
                        <w:div w:id="1383362190">
                          <w:marLeft w:val="0"/>
                          <w:marRight w:val="0"/>
                          <w:marTop w:val="0"/>
                          <w:marBottom w:val="0"/>
                          <w:divBdr>
                            <w:top w:val="none" w:sz="0" w:space="0" w:color="auto"/>
                            <w:left w:val="none" w:sz="0" w:space="0" w:color="auto"/>
                            <w:bottom w:val="none" w:sz="0" w:space="0" w:color="auto"/>
                            <w:right w:val="none" w:sz="0" w:space="0" w:color="auto"/>
                          </w:divBdr>
                          <w:divsChild>
                            <w:div w:id="1009597640">
                              <w:marLeft w:val="0"/>
                              <w:marRight w:val="0"/>
                              <w:marTop w:val="0"/>
                              <w:marBottom w:val="0"/>
                              <w:divBdr>
                                <w:top w:val="none" w:sz="0" w:space="0" w:color="auto"/>
                                <w:left w:val="none" w:sz="0" w:space="0" w:color="auto"/>
                                <w:bottom w:val="none" w:sz="0" w:space="0" w:color="auto"/>
                                <w:right w:val="none" w:sz="0" w:space="0" w:color="auto"/>
                              </w:divBdr>
                              <w:divsChild>
                                <w:div w:id="1815023719">
                                  <w:marLeft w:val="-225"/>
                                  <w:marRight w:val="-225"/>
                                  <w:marTop w:val="0"/>
                                  <w:marBottom w:val="0"/>
                                  <w:divBdr>
                                    <w:top w:val="none" w:sz="0" w:space="0" w:color="auto"/>
                                    <w:left w:val="none" w:sz="0" w:space="0" w:color="auto"/>
                                    <w:bottom w:val="none" w:sz="0" w:space="0" w:color="auto"/>
                                    <w:right w:val="none" w:sz="0" w:space="0" w:color="auto"/>
                                  </w:divBdr>
                                  <w:divsChild>
                                    <w:div w:id="789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832387">
      <w:bodyDiv w:val="1"/>
      <w:marLeft w:val="0"/>
      <w:marRight w:val="0"/>
      <w:marTop w:val="0"/>
      <w:marBottom w:val="0"/>
      <w:divBdr>
        <w:top w:val="none" w:sz="0" w:space="0" w:color="auto"/>
        <w:left w:val="none" w:sz="0" w:space="0" w:color="auto"/>
        <w:bottom w:val="none" w:sz="0" w:space="0" w:color="auto"/>
        <w:right w:val="none" w:sz="0" w:space="0" w:color="auto"/>
      </w:divBdr>
    </w:div>
    <w:div w:id="19586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dassociation.org/" TargetMode="External"/><Relationship Id="rId18" Type="http://schemas.openxmlformats.org/officeDocument/2006/relationships/package" Target="embeddings/Microsoft_Word_Document.docx"/><Relationship Id="rId26" Type="http://schemas.openxmlformats.org/officeDocument/2006/relationships/hyperlink" Target="mailto:awp.dietetics@nhs.net" TargetMode="External"/><Relationship Id="rId3" Type="http://schemas.openxmlformats.org/officeDocument/2006/relationships/customXml" Target="../customXml/item3.xml"/><Relationship Id="rId21" Type="http://schemas.openxmlformats.org/officeDocument/2006/relationships/hyperlink" Target="https://www.kidneycareuk.org/about-kidney-health/living-kidney-disease" TargetMode="External"/><Relationship Id="rId7" Type="http://schemas.openxmlformats.org/officeDocument/2006/relationships/webSettings" Target="webSettings.xml"/><Relationship Id="rId12" Type="http://schemas.openxmlformats.org/officeDocument/2006/relationships/hyperlink" Target="http://www.hda.org.uk/" TargetMode="External"/><Relationship Id="rId17" Type="http://schemas.openxmlformats.org/officeDocument/2006/relationships/image" Target="media/image1.emf"/><Relationship Id="rId25" Type="http://schemas.openxmlformats.org/officeDocument/2006/relationships/hyperlink" Target="https://www.nbt.nhs.uk/clinicians/services-referral/diabetes-endocrinology-clinicians" TargetMode="External"/><Relationship Id="rId2" Type="http://schemas.openxmlformats.org/officeDocument/2006/relationships/customXml" Target="../customXml/item2.xml"/><Relationship Id="rId16" Type="http://schemas.openxmlformats.org/officeDocument/2006/relationships/hyperlink" Target="https://www.nbt.nhs.uk/our-services/a-z-services/nutrition-dietetics/nutrition-dietetics-kidney-disease-foodhttps:/www.nbt.nhs.uk/severn-pathology/pathology-services/clinical-biochemistry/clinical-biochemistry-clinics" TargetMode="External"/><Relationship Id="rId20" Type="http://schemas.openxmlformats.org/officeDocument/2006/relationships/hyperlink" Target="https://www.nbt.nhs.uk/our-services/a-z-services/nutrition-dietetics/nutrition-dietetics-kidney-disease-foo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kinsons.org.uk/" TargetMode="External"/><Relationship Id="rId24" Type="http://schemas.openxmlformats.org/officeDocument/2006/relationships/hyperlink" Target="https://www.nbt.nhs.uk/our-services/a-z-services/diabetes-endocrinology/multiprofessional-general-diabetes-clinics" TargetMode="External"/><Relationship Id="rId5" Type="http://schemas.openxmlformats.org/officeDocument/2006/relationships/styles" Target="styles.xml"/><Relationship Id="rId15" Type="http://schemas.openxmlformats.org/officeDocument/2006/relationships/hyperlink" Target="https://pspassociation.org.uk/" TargetMode="External"/><Relationship Id="rId23" Type="http://schemas.openxmlformats.org/officeDocument/2006/relationships/hyperlink" Target="https://www.nbt.nhs.uk/clinicians/services-referral/bristol-weight-management-bariatric-service-bwmbs-clinicians" TargetMode="External"/><Relationship Id="rId28" Type="http://schemas.openxmlformats.org/officeDocument/2006/relationships/fontTable" Target="fontTable.xml"/><Relationship Id="rId10" Type="http://schemas.openxmlformats.org/officeDocument/2006/relationships/hyperlink" Target="mailto:outpatients.appointments@nbt.nhs.uk" TargetMode="External"/><Relationship Id="rId19" Type="http://schemas.openxmlformats.org/officeDocument/2006/relationships/hyperlink" Target="mailto:proactiveproject@nb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society.org.uk/" TargetMode="External"/><Relationship Id="rId22" Type="http://schemas.openxmlformats.org/officeDocument/2006/relationships/hyperlink" Target="https://remedy.bnssgccg.nhs.uk/media/4707/nutrition-and-dietetcisreferral-and-criteria-pathway-v5-a3.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8" ma:contentTypeDescription="Create a new document." ma:contentTypeScope="" ma:versionID="b8fb4a210a47801181d8aa29c3f8996e">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047ff4f7f50d6d4d3223a62db6e8ed7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97c68d-d455-49e0-9533-63e123ee8aac}"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Comments xmlns="d8c99a80-4d97-4475-869b-751d4fe10f1a" xsi:nil="true"/>
    <TaxCatchAll xmlns="c80b502f-11a7-409e-a15d-a9c04bdc57b7" xsi:nil="true"/>
    <_Flow_SignoffStatus xmlns="d8c99a80-4d97-4475-869b-751d4fe10f1a" xsi:nil="true"/>
  </documentManagement>
</p:properties>
</file>

<file path=customXml/itemProps1.xml><?xml version="1.0" encoding="utf-8"?>
<ds:datastoreItem xmlns:ds="http://schemas.openxmlformats.org/officeDocument/2006/customXml" ds:itemID="{2A01172A-234D-4197-9178-AB103C5CF0C7}">
  <ds:schemaRefs>
    <ds:schemaRef ds:uri="http://schemas.microsoft.com/sharepoint/v3/contenttype/forms"/>
  </ds:schemaRefs>
</ds:datastoreItem>
</file>

<file path=customXml/itemProps2.xml><?xml version="1.0" encoding="utf-8"?>
<ds:datastoreItem xmlns:ds="http://schemas.openxmlformats.org/officeDocument/2006/customXml" ds:itemID="{B40EDCAE-D95D-4729-B014-94D7EDC98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6142C-D866-447E-8130-B5D8623ECC7E}">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Herlihy</dc:creator>
  <cp:lastModifiedBy>Laura Herlihy</cp:lastModifiedBy>
  <cp:revision>4</cp:revision>
  <cp:lastPrinted>2021-10-21T07:54:00Z</cp:lastPrinted>
  <dcterms:created xsi:type="dcterms:W3CDTF">2023-07-04T12:28:00Z</dcterms:created>
  <dcterms:modified xsi:type="dcterms:W3CDTF">2023-07-04T13:03:00Z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