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CA01" w14:textId="66496238" w:rsidR="0057203A" w:rsidRPr="00FC340A" w:rsidRDefault="00571937" w:rsidP="00FC340A">
      <w:pPr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Management of Patient who are qFit negative with 2WW Colorectal Symptoms</w:t>
      </w:r>
    </w:p>
    <w:p w14:paraId="173B7584" w14:textId="529781AE" w:rsidR="00571937" w:rsidRDefault="0057203A" w:rsidP="0057203A">
      <w:pPr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B865BA">
        <w:rPr>
          <w:sz w:val="24"/>
          <w:szCs w:val="24"/>
        </w:rPr>
        <w:t>document has been written</w:t>
      </w:r>
      <w:r>
        <w:rPr>
          <w:sz w:val="24"/>
          <w:szCs w:val="24"/>
        </w:rPr>
        <w:t xml:space="preserve"> to support Primary care clinicians in the onward management of patients</w:t>
      </w:r>
      <w:r w:rsidR="00571937">
        <w:rPr>
          <w:sz w:val="24"/>
          <w:szCs w:val="24"/>
        </w:rPr>
        <w:t xml:space="preserve"> with 2WW colorectal symptoms who are qFit negative.</w:t>
      </w:r>
    </w:p>
    <w:p w14:paraId="637CD5D8" w14:textId="01127E36" w:rsidR="0057203A" w:rsidRDefault="00B865BA" w:rsidP="0057203A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57203A">
        <w:rPr>
          <w:sz w:val="24"/>
          <w:szCs w:val="24"/>
        </w:rPr>
        <w:t xml:space="preserve"> is based on guidance developed in Nottingham a</w:t>
      </w:r>
      <w:r>
        <w:rPr>
          <w:sz w:val="24"/>
          <w:szCs w:val="24"/>
        </w:rPr>
        <w:t>long</w:t>
      </w:r>
      <w:r w:rsidR="0057203A">
        <w:rPr>
          <w:sz w:val="24"/>
          <w:szCs w:val="24"/>
        </w:rPr>
        <w:t>s</w:t>
      </w:r>
      <w:r>
        <w:rPr>
          <w:sz w:val="24"/>
          <w:szCs w:val="24"/>
        </w:rPr>
        <w:t>ide</w:t>
      </w:r>
      <w:r w:rsidR="0057203A">
        <w:rPr>
          <w:sz w:val="24"/>
          <w:szCs w:val="24"/>
        </w:rPr>
        <w:t xml:space="preserve"> conversations with BNSSG</w:t>
      </w:r>
      <w:r w:rsidR="00FB7F43">
        <w:rPr>
          <w:sz w:val="24"/>
          <w:szCs w:val="24"/>
        </w:rPr>
        <w:t xml:space="preserve"> and SWAG</w:t>
      </w:r>
      <w:r w:rsidR="0057203A">
        <w:rPr>
          <w:sz w:val="24"/>
          <w:szCs w:val="24"/>
        </w:rPr>
        <w:t xml:space="preserve"> clinicians.</w:t>
      </w:r>
      <w:r w:rsidR="000F208F">
        <w:rPr>
          <w:sz w:val="24"/>
          <w:szCs w:val="24"/>
        </w:rPr>
        <w:t xml:space="preserve"> Th</w:t>
      </w:r>
      <w:r>
        <w:rPr>
          <w:sz w:val="24"/>
          <w:szCs w:val="24"/>
        </w:rPr>
        <w:t>e suggestions below</w:t>
      </w:r>
      <w:r w:rsidR="000F208F">
        <w:rPr>
          <w:sz w:val="24"/>
          <w:szCs w:val="24"/>
        </w:rPr>
        <w:t xml:space="preserve"> are </w:t>
      </w:r>
      <w:r>
        <w:rPr>
          <w:sz w:val="24"/>
          <w:szCs w:val="24"/>
        </w:rPr>
        <w:t xml:space="preserve">do not cover all possibilities and </w:t>
      </w:r>
      <w:r w:rsidR="000F208F">
        <w:rPr>
          <w:sz w:val="24"/>
          <w:szCs w:val="24"/>
        </w:rPr>
        <w:t>decisions about appropriate investigation and onward referral remain with the assessing clinician.</w:t>
      </w:r>
    </w:p>
    <w:p w14:paraId="288A09E3" w14:textId="35784263" w:rsidR="0057203A" w:rsidRDefault="006E2127" w:rsidP="0057203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 xml:space="preserve">non </w:t>
      </w:r>
      <w:proofErr w:type="gramStart"/>
      <w:r>
        <w:rPr>
          <w:sz w:val="24"/>
          <w:szCs w:val="24"/>
        </w:rPr>
        <w:t>site</w:t>
      </w:r>
      <w:proofErr w:type="spellEnd"/>
      <w:r>
        <w:rPr>
          <w:sz w:val="24"/>
          <w:szCs w:val="24"/>
        </w:rPr>
        <w:t xml:space="preserve"> specific</w:t>
      </w:r>
      <w:proofErr w:type="gramEnd"/>
      <w:r>
        <w:rPr>
          <w:sz w:val="24"/>
          <w:szCs w:val="24"/>
        </w:rPr>
        <w:t xml:space="preserve"> symptoms service</w:t>
      </w:r>
      <w:r w:rsidR="00B60AD5">
        <w:rPr>
          <w:sz w:val="24"/>
          <w:szCs w:val="24"/>
        </w:rPr>
        <w:t xml:space="preserve"> (</w:t>
      </w:r>
      <w:r w:rsidR="00B865BA">
        <w:rPr>
          <w:sz w:val="24"/>
          <w:szCs w:val="24"/>
        </w:rPr>
        <w:t>NSS.</w:t>
      </w:r>
      <w:r w:rsidR="00B60AD5">
        <w:rPr>
          <w:sz w:val="24"/>
          <w:szCs w:val="24"/>
        </w:rPr>
        <w:t>ref3)</w:t>
      </w:r>
      <w:r>
        <w:rPr>
          <w:sz w:val="24"/>
          <w:szCs w:val="24"/>
        </w:rPr>
        <w:t xml:space="preserve"> is available </w:t>
      </w:r>
      <w:r w:rsidR="00571937">
        <w:rPr>
          <w:sz w:val="24"/>
          <w:szCs w:val="24"/>
        </w:rPr>
        <w:t>to clinicians in</w:t>
      </w:r>
      <w:r>
        <w:rPr>
          <w:sz w:val="24"/>
          <w:szCs w:val="24"/>
        </w:rPr>
        <w:t xml:space="preserve"> BNSSG </w:t>
      </w:r>
      <w:r w:rsidR="00571937">
        <w:rPr>
          <w:sz w:val="24"/>
          <w:szCs w:val="24"/>
        </w:rPr>
        <w:t xml:space="preserve">whose remit is to investigate patients where there is significant clinical concern of cancer and </w:t>
      </w:r>
      <w:r w:rsidR="00FB7F43">
        <w:rPr>
          <w:sz w:val="24"/>
          <w:szCs w:val="24"/>
        </w:rPr>
        <w:t>no other appropriate 2WW/urgent pathway.</w:t>
      </w:r>
      <w:r w:rsidR="00571937">
        <w:rPr>
          <w:sz w:val="24"/>
          <w:szCs w:val="24"/>
        </w:rPr>
        <w:t xml:space="preserve"> Some of the patients who are qFit negative may be appropriate for this service depending on their symptoms, clinical </w:t>
      </w:r>
      <w:proofErr w:type="gramStart"/>
      <w:r w:rsidR="00571937">
        <w:rPr>
          <w:sz w:val="24"/>
          <w:szCs w:val="24"/>
        </w:rPr>
        <w:t>signs</w:t>
      </w:r>
      <w:proofErr w:type="gramEnd"/>
      <w:r w:rsidR="00571937">
        <w:rPr>
          <w:sz w:val="24"/>
          <w:szCs w:val="24"/>
        </w:rPr>
        <w:t xml:space="preserve"> and results of investigations.</w:t>
      </w:r>
    </w:p>
    <w:p w14:paraId="3740D027" w14:textId="31FECCF9" w:rsidR="0037092D" w:rsidRDefault="0037092D" w:rsidP="0037092D">
      <w:pPr>
        <w:rPr>
          <w:sz w:val="24"/>
          <w:szCs w:val="24"/>
        </w:rPr>
      </w:pPr>
      <w:r>
        <w:rPr>
          <w:sz w:val="24"/>
          <w:szCs w:val="24"/>
        </w:rPr>
        <w:t xml:space="preserve">The following guidance is based on the evidence that </w:t>
      </w:r>
      <w:r w:rsidR="00B865BA">
        <w:rPr>
          <w:sz w:val="24"/>
          <w:szCs w:val="24"/>
        </w:rPr>
        <w:t xml:space="preserve">in the scenarios where a qFit is advised pre-referral a </w:t>
      </w:r>
      <w:r>
        <w:rPr>
          <w:sz w:val="24"/>
          <w:szCs w:val="24"/>
        </w:rPr>
        <w:t xml:space="preserve">negative qFit means that an </w:t>
      </w:r>
      <w:r w:rsidR="00126BFE">
        <w:rPr>
          <w:sz w:val="24"/>
          <w:szCs w:val="24"/>
        </w:rPr>
        <w:t>individual has a less than population risk of having CRC. This does not mean no risk of CRC but does mean that an alternative diagnosis is more likely and should be explore</w:t>
      </w:r>
      <w:r w:rsidR="00B60AD5">
        <w:rPr>
          <w:sz w:val="24"/>
          <w:szCs w:val="24"/>
        </w:rPr>
        <w:t>d with appropriate tests</w:t>
      </w:r>
      <w:r w:rsidR="00126BFE">
        <w:rPr>
          <w:sz w:val="24"/>
          <w:szCs w:val="24"/>
        </w:rPr>
        <w:t xml:space="preserve"> if the patient has ongoing symptoms of concern.</w:t>
      </w:r>
    </w:p>
    <w:p w14:paraId="35A75D9C" w14:textId="40306336" w:rsidR="00FC340A" w:rsidRDefault="00FC340A" w:rsidP="0037092D">
      <w:pPr>
        <w:rPr>
          <w:sz w:val="24"/>
          <w:szCs w:val="24"/>
        </w:rPr>
      </w:pPr>
      <w:r>
        <w:rPr>
          <w:sz w:val="24"/>
          <w:szCs w:val="24"/>
        </w:rPr>
        <w:t>Consideration could also be given to repeating a qFit if there is ongoing clinical concern as results from a recent study show patients with two negative qFit results have a colorectal cancer risk of &lt;0.</w:t>
      </w:r>
      <w:r w:rsidR="00791D78">
        <w:rPr>
          <w:sz w:val="24"/>
          <w:szCs w:val="24"/>
        </w:rPr>
        <w:t>0</w:t>
      </w:r>
      <w:r>
        <w:rPr>
          <w:sz w:val="24"/>
          <w:szCs w:val="24"/>
        </w:rPr>
        <w:t>4%.</w:t>
      </w:r>
      <w:r>
        <w:rPr>
          <w:rStyle w:val="FootnoteReference"/>
          <w:sz w:val="24"/>
          <w:szCs w:val="24"/>
        </w:rPr>
        <w:footnoteReference w:id="1"/>
      </w:r>
    </w:p>
    <w:p w14:paraId="6100EF40" w14:textId="77777777" w:rsidR="00A8702F" w:rsidRPr="00B60AD5" w:rsidRDefault="00A8702F" w:rsidP="00A8702F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-------------------------------------------------------------------------------------------------------------------------</w:t>
      </w:r>
    </w:p>
    <w:p w14:paraId="747C0C34" w14:textId="6C23FC1F" w:rsidR="00156E48" w:rsidRDefault="00156E48" w:rsidP="0037092D">
      <w:pPr>
        <w:rPr>
          <w:sz w:val="24"/>
          <w:szCs w:val="24"/>
        </w:rPr>
      </w:pPr>
      <w:r>
        <w:rPr>
          <w:sz w:val="24"/>
          <w:szCs w:val="24"/>
        </w:rPr>
        <w:t>The following groups of patients now need a qFit &gt;= 10 before referral on a colorectal 2ww pathway</w:t>
      </w:r>
    </w:p>
    <w:p w14:paraId="3A5EE874" w14:textId="3F9AF32D" w:rsidR="00156E48" w:rsidRDefault="00156E48" w:rsidP="00156E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 60 with CIBH</w:t>
      </w:r>
    </w:p>
    <w:p w14:paraId="366FCC15" w14:textId="3B8C2C12" w:rsidR="00156E48" w:rsidRDefault="00156E48" w:rsidP="00156E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 40 with abdominal pain and weight loss</w:t>
      </w:r>
    </w:p>
    <w:p w14:paraId="4E6A560D" w14:textId="77777777" w:rsidR="00156E48" w:rsidRDefault="00156E48" w:rsidP="00156E48">
      <w:pPr>
        <w:pStyle w:val="ListParagraph"/>
        <w:numPr>
          <w:ilvl w:val="0"/>
          <w:numId w:val="2"/>
        </w:numPr>
        <w:spacing w:after="0" w:line="240" w:lineRule="auto"/>
      </w:pPr>
      <w:r>
        <w:t>Over 50 with unexplained rectal bleeding</w:t>
      </w:r>
    </w:p>
    <w:p w14:paraId="60740637" w14:textId="77777777" w:rsidR="00156E48" w:rsidRDefault="00156E48" w:rsidP="00156E48">
      <w:pPr>
        <w:pStyle w:val="ListParagraph"/>
        <w:numPr>
          <w:ilvl w:val="0"/>
          <w:numId w:val="2"/>
        </w:numPr>
        <w:spacing w:after="0" w:line="240" w:lineRule="auto"/>
      </w:pPr>
      <w:r>
        <w:t>Under 50 with Rectal bleeding and any of the following unexplained symptoms or findings</w:t>
      </w:r>
    </w:p>
    <w:p w14:paraId="5E1F4F7C" w14:textId="77777777" w:rsidR="00156E48" w:rsidRDefault="00156E48" w:rsidP="00156E48">
      <w:pPr>
        <w:pStyle w:val="ListParagraph"/>
        <w:numPr>
          <w:ilvl w:val="1"/>
          <w:numId w:val="2"/>
        </w:numPr>
        <w:spacing w:after="0" w:line="240" w:lineRule="auto"/>
      </w:pPr>
      <w:r>
        <w:t>Abdominal pain</w:t>
      </w:r>
    </w:p>
    <w:p w14:paraId="72392A46" w14:textId="77777777" w:rsidR="00156E48" w:rsidRDefault="00156E48" w:rsidP="00156E48">
      <w:pPr>
        <w:pStyle w:val="ListParagraph"/>
        <w:numPr>
          <w:ilvl w:val="1"/>
          <w:numId w:val="2"/>
        </w:numPr>
        <w:spacing w:after="0" w:line="240" w:lineRule="auto"/>
      </w:pPr>
      <w:r>
        <w:t>Change in Bowel Habit (CIBH)</w:t>
      </w:r>
    </w:p>
    <w:p w14:paraId="1617C4A8" w14:textId="77777777" w:rsidR="00156E48" w:rsidRDefault="00156E48" w:rsidP="00156E48">
      <w:pPr>
        <w:pStyle w:val="ListParagraph"/>
        <w:numPr>
          <w:ilvl w:val="1"/>
          <w:numId w:val="2"/>
        </w:numPr>
        <w:spacing w:after="0" w:line="240" w:lineRule="auto"/>
      </w:pPr>
      <w:r>
        <w:t>Weight Loss</w:t>
      </w:r>
    </w:p>
    <w:p w14:paraId="28E01303" w14:textId="77777777" w:rsidR="00156E48" w:rsidRDefault="00156E48" w:rsidP="00156E4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Iron Deficiency </w:t>
      </w:r>
      <w:proofErr w:type="spellStart"/>
      <w:r>
        <w:t>Anemia</w:t>
      </w:r>
      <w:proofErr w:type="spellEnd"/>
      <w:r>
        <w:t xml:space="preserve"> (IDA)</w:t>
      </w:r>
    </w:p>
    <w:p w14:paraId="37BB7B94" w14:textId="77777777" w:rsidR="00156E48" w:rsidRDefault="00156E48" w:rsidP="0037092D">
      <w:pPr>
        <w:rPr>
          <w:b/>
          <w:bCs/>
          <w:sz w:val="24"/>
          <w:szCs w:val="24"/>
        </w:rPr>
      </w:pPr>
    </w:p>
    <w:p w14:paraId="25D76662" w14:textId="17A889CF" w:rsidR="000F208F" w:rsidRDefault="0037092D" w:rsidP="0037092D">
      <w:pPr>
        <w:rPr>
          <w:b/>
          <w:bCs/>
          <w:sz w:val="24"/>
          <w:szCs w:val="24"/>
        </w:rPr>
      </w:pPr>
      <w:r w:rsidRPr="006E2127">
        <w:rPr>
          <w:b/>
          <w:bCs/>
          <w:sz w:val="24"/>
          <w:szCs w:val="24"/>
        </w:rPr>
        <w:t xml:space="preserve">FIT Negative AND </w:t>
      </w:r>
      <w:r>
        <w:rPr>
          <w:b/>
          <w:bCs/>
          <w:sz w:val="24"/>
          <w:szCs w:val="24"/>
        </w:rPr>
        <w:t>CIBH</w:t>
      </w:r>
      <w:r w:rsidR="000F208F">
        <w:rPr>
          <w:b/>
          <w:bCs/>
          <w:sz w:val="24"/>
          <w:szCs w:val="24"/>
        </w:rPr>
        <w:t xml:space="preserve"> </w:t>
      </w:r>
    </w:p>
    <w:p w14:paraId="1AE47C06" w14:textId="6F4BD476" w:rsidR="00B14516" w:rsidRDefault="00B14516" w:rsidP="00571BE4">
      <w:pPr>
        <w:spacing w:after="0"/>
        <w:rPr>
          <w:sz w:val="24"/>
          <w:szCs w:val="24"/>
        </w:rPr>
      </w:pPr>
      <w:r>
        <w:rPr>
          <w:sz w:val="24"/>
          <w:szCs w:val="24"/>
        </w:rPr>
        <w:t>CIBH is more likely to be pathological if</w:t>
      </w:r>
      <w:r w:rsidR="00A8702F">
        <w:rPr>
          <w:sz w:val="24"/>
          <w:szCs w:val="24"/>
        </w:rPr>
        <w:t xml:space="preserve"> it is</w:t>
      </w:r>
      <w:r>
        <w:rPr>
          <w:sz w:val="24"/>
          <w:szCs w:val="24"/>
        </w:rPr>
        <w:t xml:space="preserve"> a change to looser stools lasting over 6 weeks. </w:t>
      </w:r>
    </w:p>
    <w:p w14:paraId="250CD971" w14:textId="48609424" w:rsidR="00AE4656" w:rsidRDefault="004121D7" w:rsidP="00571BE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Consider</w:t>
      </w:r>
      <w:r w:rsidR="000F208F">
        <w:rPr>
          <w:sz w:val="24"/>
          <w:szCs w:val="24"/>
        </w:rPr>
        <w:t xml:space="preserve"> </w:t>
      </w:r>
      <w:r w:rsidR="00126BFE">
        <w:rPr>
          <w:sz w:val="24"/>
          <w:szCs w:val="24"/>
        </w:rPr>
        <w:t>blood tests</w:t>
      </w:r>
      <w:r w:rsidR="00C12D72">
        <w:rPr>
          <w:sz w:val="24"/>
          <w:szCs w:val="24"/>
        </w:rPr>
        <w:t xml:space="preserve">; FBC, UE, LFT, </w:t>
      </w:r>
      <w:r w:rsidR="00711B4A">
        <w:rPr>
          <w:sz w:val="24"/>
          <w:szCs w:val="24"/>
        </w:rPr>
        <w:t xml:space="preserve">HbA1c, </w:t>
      </w:r>
      <w:r w:rsidR="00C12D72">
        <w:rPr>
          <w:sz w:val="24"/>
          <w:szCs w:val="24"/>
        </w:rPr>
        <w:t>Haematinics,</w:t>
      </w:r>
      <w:r w:rsidR="00126BFE">
        <w:rPr>
          <w:sz w:val="24"/>
          <w:szCs w:val="24"/>
        </w:rPr>
        <w:t xml:space="preserve"> TSH, TTG, </w:t>
      </w:r>
      <w:r w:rsidR="00C12D72">
        <w:rPr>
          <w:sz w:val="24"/>
          <w:szCs w:val="24"/>
        </w:rPr>
        <w:t xml:space="preserve">CRP, </w:t>
      </w:r>
      <w:r w:rsidR="00126BFE">
        <w:rPr>
          <w:sz w:val="24"/>
          <w:szCs w:val="24"/>
        </w:rPr>
        <w:t xml:space="preserve">CA125 </w:t>
      </w:r>
      <w:r w:rsidR="000F208F">
        <w:rPr>
          <w:sz w:val="24"/>
          <w:szCs w:val="24"/>
        </w:rPr>
        <w:t>and c</w:t>
      </w:r>
      <w:r w:rsidR="00C12D72">
        <w:rPr>
          <w:sz w:val="24"/>
          <w:szCs w:val="24"/>
        </w:rPr>
        <w:t>heck</w:t>
      </w:r>
      <w:r w:rsidR="005C5A98">
        <w:rPr>
          <w:sz w:val="24"/>
          <w:szCs w:val="24"/>
        </w:rPr>
        <w:t xml:space="preserve"> faecal calprotectin</w:t>
      </w:r>
      <w:r>
        <w:rPr>
          <w:sz w:val="24"/>
          <w:szCs w:val="24"/>
        </w:rPr>
        <w:t xml:space="preserve">/faecal elastase, refer on according to results if </w:t>
      </w:r>
      <w:proofErr w:type="gramStart"/>
      <w:r>
        <w:rPr>
          <w:sz w:val="24"/>
          <w:szCs w:val="24"/>
        </w:rPr>
        <w:t>appropriate</w:t>
      </w:r>
      <w:proofErr w:type="gramEnd"/>
    </w:p>
    <w:p w14:paraId="1AC10B3D" w14:textId="18A6E8B6" w:rsidR="00AE4656" w:rsidRDefault="00AE4656" w:rsidP="00571BE4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Consider whether meets criteria for Upper GI 2WW</w:t>
      </w:r>
    </w:p>
    <w:p w14:paraId="610F020E" w14:textId="290CDFC4" w:rsidR="000F208F" w:rsidRDefault="000F208F" w:rsidP="00571BE4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of medication history (many medications can cause microscopic colitis</w:t>
      </w:r>
      <w:r w:rsidR="00B14516">
        <w:rPr>
          <w:sz w:val="24"/>
          <w:szCs w:val="24"/>
        </w:rPr>
        <w:t>)</w:t>
      </w:r>
    </w:p>
    <w:p w14:paraId="22CB88D8" w14:textId="1C691960" w:rsidR="000F208F" w:rsidRDefault="000F208F" w:rsidP="00571B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profuse watery diarrhoea for routine colonoscopy </w:t>
      </w:r>
      <w:proofErr w:type="gramStart"/>
      <w:r>
        <w:rPr>
          <w:sz w:val="24"/>
          <w:szCs w:val="24"/>
        </w:rPr>
        <w:t>as ?microscopic</w:t>
      </w:r>
      <w:proofErr w:type="gramEnd"/>
      <w:r>
        <w:rPr>
          <w:sz w:val="24"/>
          <w:szCs w:val="24"/>
        </w:rPr>
        <w:t xml:space="preserve"> colitis</w:t>
      </w:r>
    </w:p>
    <w:p w14:paraId="06FF3D1D" w14:textId="2B977B31" w:rsidR="000F208F" w:rsidRPr="000F208F" w:rsidRDefault="000F208F" w:rsidP="00571BE4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Consider pelvic floor pathology and obstructive defaecation</w:t>
      </w:r>
    </w:p>
    <w:p w14:paraId="33A404E6" w14:textId="7C8D1EC0" w:rsidR="00126BFE" w:rsidRDefault="00126BFE" w:rsidP="00571B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ongoing symptoms of </w:t>
      </w:r>
      <w:proofErr w:type="gramStart"/>
      <w:r>
        <w:rPr>
          <w:sz w:val="24"/>
          <w:szCs w:val="24"/>
        </w:rPr>
        <w:t>concern</w:t>
      </w:r>
      <w:proofErr w:type="gramEnd"/>
      <w:r>
        <w:rPr>
          <w:sz w:val="24"/>
          <w:szCs w:val="24"/>
        </w:rPr>
        <w:t xml:space="preserve"> then consider </w:t>
      </w:r>
      <w:r w:rsidR="000F208F">
        <w:rPr>
          <w:sz w:val="24"/>
          <w:szCs w:val="24"/>
        </w:rPr>
        <w:t xml:space="preserve">routine </w:t>
      </w:r>
      <w:r>
        <w:rPr>
          <w:sz w:val="24"/>
          <w:szCs w:val="24"/>
        </w:rPr>
        <w:t>gastro A+G</w:t>
      </w:r>
    </w:p>
    <w:p w14:paraId="4CE19ADE" w14:textId="77777777" w:rsidR="00571BE4" w:rsidRDefault="00571BE4" w:rsidP="00571BE4">
      <w:pPr>
        <w:spacing w:after="0"/>
        <w:rPr>
          <w:sz w:val="24"/>
          <w:szCs w:val="24"/>
        </w:rPr>
      </w:pPr>
    </w:p>
    <w:p w14:paraId="15746D55" w14:textId="77777777" w:rsidR="004B46B9" w:rsidRDefault="004B46B9" w:rsidP="004B46B9">
      <w:pPr>
        <w:rPr>
          <w:b/>
          <w:bCs/>
          <w:sz w:val="24"/>
          <w:szCs w:val="24"/>
        </w:rPr>
      </w:pPr>
      <w:r w:rsidRPr="006E2127">
        <w:rPr>
          <w:b/>
          <w:bCs/>
          <w:sz w:val="24"/>
          <w:szCs w:val="24"/>
        </w:rPr>
        <w:t>FIT Negative AND Unexplained Weight Loss</w:t>
      </w:r>
      <w:r>
        <w:rPr>
          <w:b/>
          <w:bCs/>
          <w:sz w:val="24"/>
          <w:szCs w:val="24"/>
        </w:rPr>
        <w:t xml:space="preserve"> and Abdominal Pain</w:t>
      </w:r>
    </w:p>
    <w:p w14:paraId="2E931019" w14:textId="77777777" w:rsidR="004B46B9" w:rsidRDefault="004B46B9" w:rsidP="00571B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Consider whether meets criteria for other 2ww referral </w:t>
      </w:r>
    </w:p>
    <w:p w14:paraId="5ADD6E17" w14:textId="79513359" w:rsidR="004B46B9" w:rsidRDefault="004B46B9" w:rsidP="00571B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other appropriate alternative pathway complete </w:t>
      </w:r>
      <w:r w:rsidR="00B865BA">
        <w:rPr>
          <w:sz w:val="24"/>
          <w:szCs w:val="24"/>
        </w:rPr>
        <w:t>non site specific service (NSS)</w:t>
      </w:r>
      <w:r>
        <w:rPr>
          <w:sz w:val="24"/>
          <w:szCs w:val="24"/>
        </w:rPr>
        <w:t xml:space="preserve"> filter function tests and consider</w:t>
      </w:r>
      <w:r w:rsidR="00571BE4">
        <w:rPr>
          <w:sz w:val="24"/>
          <w:szCs w:val="24"/>
        </w:rPr>
        <w:t xml:space="preserve"> referral to NSS service. </w:t>
      </w:r>
    </w:p>
    <w:p w14:paraId="0C2218D7" w14:textId="77777777" w:rsidR="00571BE4" w:rsidRDefault="00571BE4" w:rsidP="00571BE4">
      <w:pPr>
        <w:spacing w:after="0"/>
        <w:rPr>
          <w:sz w:val="24"/>
          <w:szCs w:val="24"/>
        </w:rPr>
      </w:pPr>
    </w:p>
    <w:p w14:paraId="0056F540" w14:textId="347132DF" w:rsidR="006E2127" w:rsidRDefault="005C5A98" w:rsidP="006E21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Fit Negative and Unexplained Rectal Bleeding</w:t>
      </w:r>
    </w:p>
    <w:p w14:paraId="2D720A78" w14:textId="10EAD248" w:rsidR="005C5A98" w:rsidRDefault="005C5A98" w:rsidP="00571B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Patients </w:t>
      </w:r>
      <w:r w:rsidR="00B14516">
        <w:rPr>
          <w:sz w:val="24"/>
          <w:szCs w:val="24"/>
        </w:rPr>
        <w:t>to have a</w:t>
      </w:r>
      <w:r>
        <w:rPr>
          <w:sz w:val="24"/>
          <w:szCs w:val="24"/>
        </w:rPr>
        <w:t xml:space="preserve"> DRE as part of initial assessment, </w:t>
      </w:r>
      <w:r w:rsidR="00B14516">
        <w:rPr>
          <w:sz w:val="24"/>
          <w:szCs w:val="24"/>
        </w:rPr>
        <w:t xml:space="preserve">consider further </w:t>
      </w:r>
      <w:r w:rsidR="002E2FFC">
        <w:rPr>
          <w:sz w:val="24"/>
          <w:szCs w:val="24"/>
        </w:rPr>
        <w:t>investigation</w:t>
      </w:r>
      <w:r w:rsidR="00B14516">
        <w:rPr>
          <w:sz w:val="24"/>
          <w:szCs w:val="24"/>
        </w:rPr>
        <w:t xml:space="preserve"> in the context of </w:t>
      </w:r>
      <w:r>
        <w:rPr>
          <w:sz w:val="24"/>
          <w:szCs w:val="24"/>
        </w:rPr>
        <w:t>ongoing symptoms and n</w:t>
      </w:r>
      <w:r w:rsidR="00B14516">
        <w:rPr>
          <w:sz w:val="24"/>
          <w:szCs w:val="24"/>
        </w:rPr>
        <w:t>o</w:t>
      </w:r>
      <w:r>
        <w:rPr>
          <w:sz w:val="24"/>
          <w:szCs w:val="24"/>
        </w:rPr>
        <w:t xml:space="preserve"> identified</w:t>
      </w:r>
      <w:r w:rsidR="00B14516">
        <w:rPr>
          <w:sz w:val="24"/>
          <w:szCs w:val="24"/>
        </w:rPr>
        <w:t xml:space="preserve"> cause</w:t>
      </w:r>
      <w:r>
        <w:rPr>
          <w:sz w:val="24"/>
          <w:szCs w:val="24"/>
        </w:rPr>
        <w:t>.</w:t>
      </w:r>
    </w:p>
    <w:p w14:paraId="2F48E550" w14:textId="523318F6" w:rsidR="005C5A98" w:rsidRDefault="005C5A98" w:rsidP="00571BE4">
      <w:pPr>
        <w:spacing w:after="0"/>
        <w:rPr>
          <w:sz w:val="24"/>
          <w:szCs w:val="24"/>
        </w:rPr>
      </w:pPr>
      <w:r>
        <w:rPr>
          <w:sz w:val="24"/>
          <w:szCs w:val="24"/>
        </w:rPr>
        <w:t>Bloods including FBC, Ferritin</w:t>
      </w:r>
      <w:r w:rsidR="00711B4A">
        <w:rPr>
          <w:sz w:val="24"/>
          <w:szCs w:val="24"/>
        </w:rPr>
        <w:t xml:space="preserve"> and </w:t>
      </w:r>
      <w:r w:rsidR="004D1805">
        <w:rPr>
          <w:sz w:val="24"/>
          <w:szCs w:val="24"/>
        </w:rPr>
        <w:t>c</w:t>
      </w:r>
      <w:r w:rsidR="00C12D72">
        <w:rPr>
          <w:sz w:val="24"/>
          <w:szCs w:val="24"/>
        </w:rPr>
        <w:t xml:space="preserve">heck </w:t>
      </w:r>
      <w:r>
        <w:rPr>
          <w:sz w:val="24"/>
          <w:szCs w:val="24"/>
        </w:rPr>
        <w:t>faecal calprotectin</w:t>
      </w:r>
    </w:p>
    <w:p w14:paraId="2317B9DA" w14:textId="36438484" w:rsidR="005C5A98" w:rsidRDefault="005C5A98" w:rsidP="00571BE4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 for routine flexi sigmoidoscopy</w:t>
      </w:r>
      <w:r w:rsidR="00B14516">
        <w:rPr>
          <w:sz w:val="24"/>
          <w:szCs w:val="24"/>
        </w:rPr>
        <w:t>.</w:t>
      </w:r>
    </w:p>
    <w:p w14:paraId="573F8EF9" w14:textId="77777777" w:rsidR="00571BE4" w:rsidRPr="005C5A98" w:rsidRDefault="00571BE4" w:rsidP="00571BE4">
      <w:pPr>
        <w:spacing w:after="0"/>
        <w:rPr>
          <w:sz w:val="24"/>
          <w:szCs w:val="24"/>
        </w:rPr>
      </w:pPr>
    </w:p>
    <w:p w14:paraId="3B665D94" w14:textId="5B3AD08A" w:rsidR="00AE4656" w:rsidRDefault="004B46B9" w:rsidP="004B46B9">
      <w:pPr>
        <w:spacing w:after="0" w:line="240" w:lineRule="auto"/>
        <w:rPr>
          <w:b/>
          <w:bCs/>
          <w:sz w:val="24"/>
          <w:szCs w:val="24"/>
        </w:rPr>
      </w:pPr>
      <w:r w:rsidRPr="004B46B9">
        <w:rPr>
          <w:b/>
          <w:bCs/>
          <w:sz w:val="24"/>
          <w:szCs w:val="24"/>
        </w:rPr>
        <w:t xml:space="preserve">Fit </w:t>
      </w:r>
      <w:r>
        <w:rPr>
          <w:b/>
          <w:bCs/>
          <w:sz w:val="24"/>
          <w:szCs w:val="24"/>
        </w:rPr>
        <w:t>N</w:t>
      </w:r>
      <w:r w:rsidRPr="004B46B9">
        <w:rPr>
          <w:b/>
          <w:bCs/>
          <w:sz w:val="24"/>
          <w:szCs w:val="24"/>
        </w:rPr>
        <w:t xml:space="preserve">egative with </w:t>
      </w:r>
      <w:r>
        <w:rPr>
          <w:b/>
          <w:bCs/>
          <w:sz w:val="24"/>
          <w:szCs w:val="24"/>
        </w:rPr>
        <w:t>R</w:t>
      </w:r>
      <w:r w:rsidRPr="004B46B9">
        <w:rPr>
          <w:b/>
          <w:bCs/>
          <w:sz w:val="24"/>
          <w:szCs w:val="24"/>
        </w:rPr>
        <w:t>ectal bleeding and any of the following unexplained symptoms or findings</w:t>
      </w:r>
      <w:r>
        <w:rPr>
          <w:b/>
          <w:bCs/>
          <w:sz w:val="24"/>
          <w:szCs w:val="24"/>
        </w:rPr>
        <w:t>;</w:t>
      </w:r>
      <w:r w:rsidRPr="004B46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Pr="004B46B9">
        <w:rPr>
          <w:b/>
          <w:bCs/>
          <w:sz w:val="24"/>
          <w:szCs w:val="24"/>
        </w:rPr>
        <w:t xml:space="preserve">bdominal </w:t>
      </w:r>
      <w:r>
        <w:rPr>
          <w:b/>
          <w:bCs/>
          <w:sz w:val="24"/>
          <w:szCs w:val="24"/>
        </w:rPr>
        <w:t>P</w:t>
      </w:r>
      <w:r w:rsidRPr="004B46B9">
        <w:rPr>
          <w:b/>
          <w:bCs/>
          <w:sz w:val="24"/>
          <w:szCs w:val="24"/>
        </w:rPr>
        <w:t xml:space="preserve">ain, CIBH, </w:t>
      </w:r>
      <w:r>
        <w:rPr>
          <w:b/>
          <w:bCs/>
          <w:sz w:val="24"/>
          <w:szCs w:val="24"/>
        </w:rPr>
        <w:t>W</w:t>
      </w:r>
      <w:r w:rsidRPr="004B46B9">
        <w:rPr>
          <w:b/>
          <w:bCs/>
          <w:sz w:val="24"/>
          <w:szCs w:val="24"/>
        </w:rPr>
        <w:t>eight loss, IDA</w:t>
      </w:r>
    </w:p>
    <w:p w14:paraId="7A5F302C" w14:textId="30C7F35C" w:rsidR="004B46B9" w:rsidRDefault="004B46B9" w:rsidP="004B46B9">
      <w:pPr>
        <w:spacing w:after="0" w:line="240" w:lineRule="auto"/>
        <w:rPr>
          <w:b/>
          <w:bCs/>
          <w:sz w:val="24"/>
          <w:szCs w:val="24"/>
        </w:rPr>
      </w:pPr>
    </w:p>
    <w:p w14:paraId="01CFCF24" w14:textId="45748A32" w:rsidR="004B46B9" w:rsidRDefault="002E2FFC" w:rsidP="004B4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Patients to have a DRE as part of initial assessment, c</w:t>
      </w:r>
      <w:r w:rsidR="004B46B9">
        <w:rPr>
          <w:sz w:val="24"/>
          <w:szCs w:val="24"/>
        </w:rPr>
        <w:t>onsider bloods including FBC, UE, LFT, TTG, CRP</w:t>
      </w:r>
      <w:r>
        <w:rPr>
          <w:sz w:val="24"/>
          <w:szCs w:val="24"/>
        </w:rPr>
        <w:t xml:space="preserve">, </w:t>
      </w:r>
      <w:r w:rsidR="004B46B9">
        <w:rPr>
          <w:sz w:val="24"/>
          <w:szCs w:val="24"/>
        </w:rPr>
        <w:t xml:space="preserve">faecal </w:t>
      </w:r>
      <w:proofErr w:type="gramStart"/>
      <w:r w:rsidR="004B46B9">
        <w:rPr>
          <w:sz w:val="24"/>
          <w:szCs w:val="24"/>
        </w:rPr>
        <w:t>calprotectin</w:t>
      </w:r>
      <w:proofErr w:type="gramEnd"/>
      <w:r>
        <w:rPr>
          <w:sz w:val="24"/>
          <w:szCs w:val="24"/>
        </w:rPr>
        <w:t xml:space="preserve"> and</w:t>
      </w:r>
      <w:r w:rsidR="004B46B9">
        <w:rPr>
          <w:sz w:val="24"/>
          <w:szCs w:val="24"/>
        </w:rPr>
        <w:t xml:space="preserve"> stool </w:t>
      </w:r>
      <w:proofErr w:type="spellStart"/>
      <w:r w:rsidR="004B46B9">
        <w:rPr>
          <w:sz w:val="24"/>
          <w:szCs w:val="24"/>
        </w:rPr>
        <w:t>mc+s</w:t>
      </w:r>
      <w:proofErr w:type="spellEnd"/>
      <w:r w:rsidR="004B46B9">
        <w:rPr>
          <w:sz w:val="24"/>
          <w:szCs w:val="24"/>
        </w:rPr>
        <w:t>.</w:t>
      </w:r>
    </w:p>
    <w:p w14:paraId="7CE3103E" w14:textId="4CC23732" w:rsidR="004B46B9" w:rsidRPr="004B46B9" w:rsidRDefault="004B46B9" w:rsidP="004B46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 for non 2ww colonoscopy</w:t>
      </w:r>
      <w:r w:rsidR="002E2FFC">
        <w:rPr>
          <w:sz w:val="24"/>
          <w:szCs w:val="24"/>
        </w:rPr>
        <w:t xml:space="preserve"> or other diagnostic test</w:t>
      </w:r>
      <w:r>
        <w:rPr>
          <w:sz w:val="24"/>
          <w:szCs w:val="24"/>
        </w:rPr>
        <w:t xml:space="preserve"> depending on the results</w:t>
      </w:r>
    </w:p>
    <w:p w14:paraId="3BFDE8FA" w14:textId="77777777" w:rsidR="004B46B9" w:rsidRPr="004B46B9" w:rsidRDefault="004B46B9" w:rsidP="004B46B9">
      <w:pPr>
        <w:spacing w:after="0" w:line="240" w:lineRule="auto"/>
        <w:rPr>
          <w:b/>
          <w:bCs/>
          <w:sz w:val="24"/>
          <w:szCs w:val="24"/>
        </w:rPr>
      </w:pPr>
    </w:p>
    <w:p w14:paraId="71F14626" w14:textId="501D0555" w:rsidR="00D460F3" w:rsidRDefault="00D460F3">
      <w:pPr>
        <w:pBdr>
          <w:bottom w:val="single" w:sz="6" w:space="1" w:color="auto"/>
        </w:pBdr>
        <w:rPr>
          <w:sz w:val="24"/>
          <w:szCs w:val="24"/>
        </w:rPr>
      </w:pPr>
    </w:p>
    <w:p w14:paraId="29319891" w14:textId="3F82AEAE" w:rsidR="00B55251" w:rsidRPr="00FC340A" w:rsidRDefault="00B865BA" w:rsidP="00FC340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D460F3">
          <w:rPr>
            <w:rStyle w:val="Hyperlink"/>
          </w:rPr>
          <w:t>Faecal Immunochemical Testing (FIT) in patients with signs or symptoms of suspected colorectal cancer (CRC): A joint guideline from the Association of Coloproctology of Great Britain &amp; Ireland (ACPGBI) and the British Society of Gastroenterology (BSG) - The British Society of Gastroenterology</w:t>
        </w:r>
      </w:hyperlink>
    </w:p>
    <w:p w14:paraId="13741DE2" w14:textId="77777777" w:rsidR="00FC340A" w:rsidRDefault="00FC340A" w:rsidP="00981E21">
      <w:pPr>
        <w:pStyle w:val="ListParagraph"/>
      </w:pPr>
    </w:p>
    <w:p w14:paraId="7224BFE9" w14:textId="7E8A275F" w:rsidR="00B55251" w:rsidRPr="00B60AD5" w:rsidRDefault="00B865BA" w:rsidP="00B5525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B55251">
          <w:rPr>
            <w:rStyle w:val="Hyperlink"/>
          </w:rPr>
          <w:t>COLOFIT - Optimal use of Faecal Immunochemical Testing for patients with symptoms of possible colorectal cancer. - NIHR Funding and Awards</w:t>
        </w:r>
      </w:hyperlink>
    </w:p>
    <w:p w14:paraId="7166A728" w14:textId="77777777" w:rsidR="00B60AD5" w:rsidRPr="00B60AD5" w:rsidRDefault="00B60AD5" w:rsidP="00B60AD5">
      <w:pPr>
        <w:pStyle w:val="ListParagraph"/>
        <w:rPr>
          <w:sz w:val="24"/>
          <w:szCs w:val="24"/>
        </w:rPr>
      </w:pPr>
    </w:p>
    <w:p w14:paraId="151568EA" w14:textId="7883C955" w:rsidR="00B60AD5" w:rsidRPr="00E165DA" w:rsidRDefault="00B865BA" w:rsidP="00B55251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0" w:history="1">
        <w:r w:rsidR="00B60AD5">
          <w:rPr>
            <w:rStyle w:val="Hyperlink"/>
          </w:rPr>
          <w:t>remedy pathway (bnssgccg.nhs.uk)</w:t>
        </w:r>
      </w:hyperlink>
    </w:p>
    <w:p w14:paraId="26193F9A" w14:textId="77777777" w:rsidR="00E165DA" w:rsidRPr="00E165DA" w:rsidRDefault="00E165DA" w:rsidP="00E165DA">
      <w:pPr>
        <w:pStyle w:val="ListParagraph"/>
        <w:rPr>
          <w:sz w:val="24"/>
          <w:szCs w:val="24"/>
        </w:rPr>
      </w:pPr>
    </w:p>
    <w:p w14:paraId="72CFB9D6" w14:textId="0E080C3B" w:rsidR="00E165DA" w:rsidRPr="00E165DA" w:rsidRDefault="00B865BA" w:rsidP="00B5525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E165DA">
          <w:rPr>
            <w:rStyle w:val="Hyperlink"/>
          </w:rPr>
          <w:t>Scenario: Referral for suspected gastrointestinal tract (upper) cancer | Management | Gastrointestinal tract (upper) cancers - recognition and referral | CKS | NICE</w:t>
        </w:r>
      </w:hyperlink>
    </w:p>
    <w:p w14:paraId="0EE87C18" w14:textId="77777777" w:rsidR="00E165DA" w:rsidRPr="00E165DA" w:rsidRDefault="00E165DA" w:rsidP="00E165DA">
      <w:pPr>
        <w:pStyle w:val="ListParagraph"/>
        <w:rPr>
          <w:sz w:val="24"/>
          <w:szCs w:val="24"/>
        </w:rPr>
      </w:pPr>
    </w:p>
    <w:p w14:paraId="65C9EF26" w14:textId="1339E9EC" w:rsidR="00E165DA" w:rsidRPr="002E2FFC" w:rsidRDefault="00B865BA" w:rsidP="00B55251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2" w:history="1">
        <w:r w:rsidR="00E165DA">
          <w:rPr>
            <w:rStyle w:val="Hyperlink"/>
          </w:rPr>
          <w:t>Scenario: Referral for suspected gastrointestinal tract (lower) cancer | Management | Gastrointestinal tract (lower) cancers - recognition and referral | CKS | NICE</w:t>
        </w:r>
      </w:hyperlink>
    </w:p>
    <w:p w14:paraId="51AD2356" w14:textId="77777777" w:rsidR="002E2FFC" w:rsidRPr="002E2FFC" w:rsidRDefault="002E2FFC" w:rsidP="002E2FFC">
      <w:pPr>
        <w:pStyle w:val="ListParagraph"/>
        <w:rPr>
          <w:sz w:val="24"/>
          <w:szCs w:val="24"/>
        </w:rPr>
      </w:pPr>
    </w:p>
    <w:p w14:paraId="2FCFCB0B" w14:textId="50B2C6B7" w:rsidR="002E2FFC" w:rsidRPr="00B55251" w:rsidRDefault="00B865BA" w:rsidP="00B55251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3" w:history="1">
        <w:r w:rsidR="002E2FFC">
          <w:rPr>
            <w:rStyle w:val="Hyperlink"/>
          </w:rPr>
          <w:t>B2005_i_Using-faecal-immunochemical-testing-lower-gastrointestinal-pathway_primary-care-letter.pdf (england.nhs.uk)</w:t>
        </w:r>
      </w:hyperlink>
    </w:p>
    <w:sectPr w:rsidR="002E2FFC" w:rsidRPr="00B5525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A9D5" w14:textId="77777777" w:rsidR="00BC4A69" w:rsidRDefault="00BC4A69" w:rsidP="00BC4A69">
      <w:pPr>
        <w:spacing w:after="0" w:line="240" w:lineRule="auto"/>
      </w:pPr>
      <w:r>
        <w:separator/>
      </w:r>
    </w:p>
  </w:endnote>
  <w:endnote w:type="continuationSeparator" w:id="0">
    <w:p w14:paraId="0C77867E" w14:textId="77777777" w:rsidR="00BC4A69" w:rsidRDefault="00BC4A69" w:rsidP="00BC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02E4" w14:textId="77777777" w:rsidR="00BC4A69" w:rsidRDefault="00BC4A69" w:rsidP="00BC4A69">
      <w:pPr>
        <w:spacing w:after="0" w:line="240" w:lineRule="auto"/>
      </w:pPr>
      <w:r>
        <w:separator/>
      </w:r>
    </w:p>
  </w:footnote>
  <w:footnote w:type="continuationSeparator" w:id="0">
    <w:p w14:paraId="00C780A6" w14:textId="77777777" w:rsidR="00BC4A69" w:rsidRDefault="00BC4A69" w:rsidP="00BC4A69">
      <w:pPr>
        <w:spacing w:after="0" w:line="240" w:lineRule="auto"/>
      </w:pPr>
      <w:r>
        <w:continuationSeparator/>
      </w:r>
    </w:p>
  </w:footnote>
  <w:footnote w:id="1">
    <w:p w14:paraId="47B494F6" w14:textId="6C38225D" w:rsidR="00FC340A" w:rsidRDefault="00FC34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A cohort study of duplicate faecal immunochemical testing in patients at risk of colorectal cancer from North-West England | BMJ Open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99AA" w14:textId="77777777" w:rsidR="00B865BA" w:rsidRDefault="00B865BA">
    <w:pPr>
      <w:pStyle w:val="Header"/>
    </w:pPr>
    <w:r>
      <w:t xml:space="preserve">First issued November </w:t>
    </w:r>
    <w:r w:rsidR="00BC4A69">
      <w:t>2022</w:t>
    </w:r>
  </w:p>
  <w:p w14:paraId="4F75F64A" w14:textId="4250FF73" w:rsidR="00BC4A69" w:rsidRDefault="00B865BA">
    <w:pPr>
      <w:pStyle w:val="Header"/>
    </w:pPr>
    <w:r>
      <w:t>Revised May 2023</w:t>
    </w:r>
    <w:r w:rsidR="00BC4A69">
      <w:t xml:space="preserve"> </w:t>
    </w:r>
    <w:r w:rsidR="00BC4A69">
      <w:tab/>
    </w:r>
  </w:p>
  <w:p w14:paraId="1FE6B065" w14:textId="3C1A5D64" w:rsidR="00017E9C" w:rsidRDefault="00B865BA">
    <w:pPr>
      <w:pStyle w:val="Header"/>
    </w:pPr>
    <w:r>
      <w:t>Authors</w:t>
    </w:r>
    <w:r w:rsidR="00BC4A69">
      <w:t xml:space="preserve"> Dr G Beard Ms A Lyons Mr D Messenger Mr R West</w:t>
    </w:r>
  </w:p>
  <w:p w14:paraId="4BCA1673" w14:textId="77777777" w:rsidR="00BC4A69" w:rsidRDefault="00BC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4A9"/>
    <w:multiLevelType w:val="hybridMultilevel"/>
    <w:tmpl w:val="408C9038"/>
    <w:lvl w:ilvl="0" w:tplc="EE060160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E7F2A41"/>
    <w:multiLevelType w:val="hybridMultilevel"/>
    <w:tmpl w:val="10E45386"/>
    <w:lvl w:ilvl="0" w:tplc="5E706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4716"/>
    <w:multiLevelType w:val="hybridMultilevel"/>
    <w:tmpl w:val="8BD4B2F2"/>
    <w:lvl w:ilvl="0" w:tplc="0720C2D2">
      <w:start w:val="1"/>
      <w:numFmt w:val="bullet"/>
      <w:lvlText w:val=""/>
      <w:lvlJc w:val="left"/>
      <w:pPr>
        <w:ind w:left="1440" w:hanging="10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E6791"/>
    <w:multiLevelType w:val="hybridMultilevel"/>
    <w:tmpl w:val="32D69324"/>
    <w:lvl w:ilvl="0" w:tplc="68DE8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286885">
    <w:abstractNumId w:val="1"/>
  </w:num>
  <w:num w:numId="2" w16cid:durableId="1145394287">
    <w:abstractNumId w:val="0"/>
  </w:num>
  <w:num w:numId="3" w16cid:durableId="1641183317">
    <w:abstractNumId w:val="3"/>
  </w:num>
  <w:num w:numId="4" w16cid:durableId="794180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3A"/>
    <w:rsid w:val="00002A63"/>
    <w:rsid w:val="00017E9C"/>
    <w:rsid w:val="000F208F"/>
    <w:rsid w:val="00126BFE"/>
    <w:rsid w:val="00156E48"/>
    <w:rsid w:val="001C20C0"/>
    <w:rsid w:val="00234450"/>
    <w:rsid w:val="002C2B7E"/>
    <w:rsid w:val="002C690E"/>
    <w:rsid w:val="002E2FFC"/>
    <w:rsid w:val="0037092D"/>
    <w:rsid w:val="00387165"/>
    <w:rsid w:val="004121D7"/>
    <w:rsid w:val="004B46B9"/>
    <w:rsid w:val="004D1805"/>
    <w:rsid w:val="00513B95"/>
    <w:rsid w:val="00553344"/>
    <w:rsid w:val="00571937"/>
    <w:rsid w:val="00571BE4"/>
    <w:rsid w:val="0057203A"/>
    <w:rsid w:val="005778B0"/>
    <w:rsid w:val="005A5C21"/>
    <w:rsid w:val="005C428D"/>
    <w:rsid w:val="005C5A98"/>
    <w:rsid w:val="005D1FA2"/>
    <w:rsid w:val="00606CC7"/>
    <w:rsid w:val="00647045"/>
    <w:rsid w:val="006E2127"/>
    <w:rsid w:val="00711B4A"/>
    <w:rsid w:val="0077031A"/>
    <w:rsid w:val="00791D78"/>
    <w:rsid w:val="007C306C"/>
    <w:rsid w:val="008B36F2"/>
    <w:rsid w:val="008E2477"/>
    <w:rsid w:val="00963CB8"/>
    <w:rsid w:val="00966FA8"/>
    <w:rsid w:val="00981E21"/>
    <w:rsid w:val="009F2AC3"/>
    <w:rsid w:val="00A8702F"/>
    <w:rsid w:val="00AB46FB"/>
    <w:rsid w:val="00AE4656"/>
    <w:rsid w:val="00B14516"/>
    <w:rsid w:val="00B34768"/>
    <w:rsid w:val="00B55251"/>
    <w:rsid w:val="00B60AD5"/>
    <w:rsid w:val="00B865BA"/>
    <w:rsid w:val="00BC4A69"/>
    <w:rsid w:val="00BF7EBC"/>
    <w:rsid w:val="00C12D72"/>
    <w:rsid w:val="00CD2334"/>
    <w:rsid w:val="00D460F3"/>
    <w:rsid w:val="00E165DA"/>
    <w:rsid w:val="00E3439D"/>
    <w:rsid w:val="00FB7F43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06B5"/>
  <w15:docId w15:val="{3ECA9510-2152-4C60-981A-ACEEF1A8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6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B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60F3"/>
    <w:rPr>
      <w:color w:val="0000FF"/>
      <w:u w:val="single"/>
    </w:rPr>
  </w:style>
  <w:style w:type="paragraph" w:styleId="ListParagraph">
    <w:name w:val="List Paragraph"/>
    <w:aliases w:val="NumberedList,Colorful List - Accent 11,Numbered Para 1,Dot pt,No Spacing1,List Paragraph Char Char Char,Indicator Text,List Paragraph1,Bullet Points,MAIN CONTENT,F5 List Paragraph,List Paragraph2,List Paragraph12,OBC Bullet,L,Bullet 1"/>
    <w:basedOn w:val="Normal"/>
    <w:link w:val="ListParagraphChar"/>
    <w:uiPriority w:val="34"/>
    <w:qFormat/>
    <w:rsid w:val="00B55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69"/>
  </w:style>
  <w:style w:type="paragraph" w:styleId="Footer">
    <w:name w:val="footer"/>
    <w:basedOn w:val="Normal"/>
    <w:link w:val="FooterChar"/>
    <w:uiPriority w:val="99"/>
    <w:unhideWhenUsed/>
    <w:rsid w:val="00BC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69"/>
  </w:style>
  <w:style w:type="paragraph" w:styleId="BalloonText">
    <w:name w:val="Balloon Text"/>
    <w:basedOn w:val="Normal"/>
    <w:link w:val="BalloonTextChar"/>
    <w:uiPriority w:val="99"/>
    <w:semiHidden/>
    <w:unhideWhenUsed/>
    <w:rsid w:val="003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6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umberedList Char,Colorful List - Accent 11 Char,Numbered Para 1 Char,Dot pt Char,No Spacing1 Char,List Paragraph Char Char Char Char,Indicator Text Char,List Paragraph1 Char,Bullet Points Char,MAIN CONTENT Char,List Paragraph2 Char"/>
    <w:basedOn w:val="DefaultParagraphFont"/>
    <w:link w:val="ListParagraph"/>
    <w:uiPriority w:val="34"/>
    <w:locked/>
    <w:rsid w:val="00156E48"/>
  </w:style>
  <w:style w:type="paragraph" w:styleId="FootnoteText">
    <w:name w:val="footnote text"/>
    <w:basedOn w:val="Normal"/>
    <w:link w:val="FootnoteTextChar"/>
    <w:uiPriority w:val="99"/>
    <w:semiHidden/>
    <w:unhideWhenUsed/>
    <w:rsid w:val="00FC34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4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g.org.uk/clinical-resource/faecal-immunochemical-testing-fit-in-patients-with-signs-or-symptoms-of-suspected-colorectal-cancer-crc-a-joint-guideline-from-the-acpgbi-and-the-bsg/" TargetMode="External"/><Relationship Id="rId13" Type="http://schemas.openxmlformats.org/officeDocument/2006/relationships/hyperlink" Target="https://www.england.nhs.uk/wp-content/uploads/2022/10/B2005_i_Using-faecal-immunochemical-testing-lower-gastrointestinal-pathway_primary-care-lett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s.nice.org.uk/topics/gastrointestinal-tract-lower-cancers-recognition-referral/management/referral-for-suspected-gastrointestinal-tract-lower-canc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s.nice.org.uk/topics/gastrointestinal-tract-upper-cancers-recognition-referral/management/referral-for-suspected-gastrointestinal-tract-upper-canc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medy.bnssgccg.nhs.uk/suspected-cancer-2ww/non-specific-symptoms-2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ingawards.nihr.ac.uk/award/NIHR133852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mjopen.bmj.com/content/12/4/e059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D445-4B20-4BE7-96F6-485CEF7A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UHBW NHS Foundation Trust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BEARD, Glenda (NHS BRISTOL, NORTH SOMERSET AND SOUTH GLOUCESTERSHIRE ICB - 15C)</dc:creator>
  <cp:lastModifiedBy>BEARD, Glenda (NHS BRISTOL, NORTH SOMERSET AND SOUTH GLOUCESTERSHIRE ICB - 15C)</cp:lastModifiedBy>
  <cp:revision>4</cp:revision>
  <dcterms:created xsi:type="dcterms:W3CDTF">2022-12-16T12:26:00Z</dcterms:created>
  <dcterms:modified xsi:type="dcterms:W3CDTF">2023-05-19T10:46:00Z</dcterms:modified>
</cp:coreProperties>
</file>