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1E3A" w14:textId="512416D0" w:rsidR="003D7DE6" w:rsidRPr="009C5ED1" w:rsidRDefault="003D227C" w:rsidP="00DC3EB0">
      <w:pPr>
        <w:jc w:val="center"/>
        <w:rPr>
          <w:rFonts w:cstheme="minorHAnsi"/>
          <w:b/>
          <w:bCs/>
          <w:sz w:val="28"/>
          <w:szCs w:val="28"/>
        </w:rPr>
      </w:pPr>
      <w:r w:rsidRPr="009C5ED1">
        <w:rPr>
          <w:rFonts w:cstheme="minorHAnsi"/>
          <w:b/>
          <w:bCs/>
          <w:sz w:val="28"/>
          <w:szCs w:val="28"/>
        </w:rPr>
        <w:t>Lower GI Endoscopy</w:t>
      </w:r>
      <w:r w:rsidR="009C5ED1" w:rsidRPr="009C5ED1">
        <w:rPr>
          <w:rFonts w:cstheme="minorHAnsi"/>
          <w:b/>
          <w:bCs/>
          <w:sz w:val="28"/>
          <w:szCs w:val="28"/>
        </w:rPr>
        <w:t>; Guidance for Primary Care</w:t>
      </w:r>
    </w:p>
    <w:p w14:paraId="6DB7EA7B" w14:textId="77777777" w:rsidR="00DC3EB0" w:rsidRDefault="00FF3055" w:rsidP="003E2CE4">
      <w:pPr>
        <w:rPr>
          <w:rFonts w:cstheme="minorHAnsi"/>
          <w:bCs/>
        </w:rPr>
      </w:pPr>
      <w:r w:rsidRPr="00FF3055">
        <w:rPr>
          <w:rFonts w:cstheme="minorHAnsi"/>
          <w:bCs/>
        </w:rPr>
        <w:t>When referring for lower GI endoscopy consideration must to be given to fitness both for the endoscopy but also for the bowel preparation</w:t>
      </w:r>
      <w:r w:rsidR="00B82405">
        <w:rPr>
          <w:rFonts w:cstheme="minorHAnsi"/>
          <w:bCs/>
        </w:rPr>
        <w:t xml:space="preserve"> (drinking 2-4 litres of fluid and having significant diarrhoea).</w:t>
      </w:r>
      <w:r w:rsidR="008A2346">
        <w:rPr>
          <w:rFonts w:cstheme="minorHAnsi"/>
          <w:bCs/>
        </w:rPr>
        <w:t xml:space="preserve"> </w:t>
      </w:r>
    </w:p>
    <w:p w14:paraId="1D351712" w14:textId="26827190" w:rsidR="00FF3055" w:rsidRPr="00FF3055" w:rsidRDefault="008A2346" w:rsidP="003E2CE4">
      <w:pPr>
        <w:rPr>
          <w:rFonts w:cstheme="minorHAnsi"/>
          <w:bCs/>
        </w:rPr>
      </w:pPr>
      <w:r>
        <w:rPr>
          <w:rFonts w:cstheme="minorHAnsi"/>
          <w:bCs/>
        </w:rPr>
        <w:t>If referring as a 2WW</w:t>
      </w:r>
      <w:r w:rsidR="00DE4F7E">
        <w:rPr>
          <w:rFonts w:cstheme="minorHAnsi"/>
          <w:bCs/>
        </w:rPr>
        <w:t>, there are</w:t>
      </w:r>
      <w:r>
        <w:rPr>
          <w:rFonts w:cstheme="minorHAnsi"/>
          <w:bCs/>
        </w:rPr>
        <w:t xml:space="preserve"> t</w:t>
      </w:r>
      <w:r w:rsidR="00DE4F7E">
        <w:rPr>
          <w:rFonts w:cstheme="minorHAnsi"/>
          <w:bCs/>
        </w:rPr>
        <w:t>wo</w:t>
      </w:r>
      <w:r>
        <w:rPr>
          <w:rFonts w:cstheme="minorHAnsi"/>
          <w:bCs/>
        </w:rPr>
        <w:t xml:space="preserve"> request form</w:t>
      </w:r>
      <w:r w:rsidR="00DE4F7E">
        <w:rPr>
          <w:rFonts w:cstheme="minorHAnsi"/>
          <w:bCs/>
        </w:rPr>
        <w:t>s</w:t>
      </w:r>
      <w:r>
        <w:rPr>
          <w:rFonts w:cstheme="minorHAnsi"/>
          <w:bCs/>
        </w:rPr>
        <w:t xml:space="preserve"> on ICE</w:t>
      </w:r>
      <w:r w:rsidR="00DE4F7E">
        <w:rPr>
          <w:rFonts w:cstheme="minorHAnsi"/>
          <w:bCs/>
        </w:rPr>
        <w:t xml:space="preserve">. One is for a colonoscopy and the other is for a CT </w:t>
      </w:r>
      <w:proofErr w:type="spellStart"/>
      <w:r w:rsidR="00DE4F7E">
        <w:rPr>
          <w:rFonts w:cstheme="minorHAnsi"/>
          <w:bCs/>
        </w:rPr>
        <w:t>colonogram</w:t>
      </w:r>
      <w:proofErr w:type="spellEnd"/>
      <w:r w:rsidR="00DE4F7E">
        <w:rPr>
          <w:rFonts w:cstheme="minorHAnsi"/>
          <w:bCs/>
        </w:rPr>
        <w:t>/CT abdomen and pelvis</w:t>
      </w:r>
      <w:r>
        <w:rPr>
          <w:rFonts w:cstheme="minorHAnsi"/>
          <w:bCs/>
        </w:rPr>
        <w:t>.</w:t>
      </w:r>
    </w:p>
    <w:p w14:paraId="47E13B93" w14:textId="040B2898" w:rsidR="00FF3055" w:rsidRPr="00FF3055" w:rsidRDefault="00FF3055" w:rsidP="003E2CE4">
      <w:pPr>
        <w:rPr>
          <w:rFonts w:cstheme="minorHAnsi"/>
          <w:bCs/>
        </w:rPr>
      </w:pPr>
      <w:r w:rsidRPr="00FF3055"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 xml:space="preserve">CT Colonoscopy </w:t>
      </w:r>
      <w:r w:rsidR="0054716D"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 xml:space="preserve">(CTC) </w:t>
      </w:r>
      <w:r w:rsidRPr="00FF3055">
        <w:rPr>
          <w:rFonts w:cstheme="minorHAnsi"/>
          <w:color w:val="333333"/>
          <w:shd w:val="clear" w:color="auto" w:fill="FFFFFF"/>
        </w:rPr>
        <w:t xml:space="preserve">is less </w:t>
      </w:r>
      <w:proofErr w:type="gramStart"/>
      <w:r w:rsidRPr="00FF3055">
        <w:rPr>
          <w:rFonts w:cstheme="minorHAnsi"/>
          <w:color w:val="333333"/>
          <w:shd w:val="clear" w:color="auto" w:fill="FFFFFF"/>
        </w:rPr>
        <w:t>invasive</w:t>
      </w:r>
      <w:proofErr w:type="gramEnd"/>
      <w:r w:rsidRPr="00FF3055">
        <w:rPr>
          <w:rFonts w:cstheme="minorHAnsi"/>
          <w:color w:val="333333"/>
          <w:shd w:val="clear" w:color="auto" w:fill="FFFFFF"/>
        </w:rPr>
        <w:t xml:space="preserve"> and the bowel prep</w:t>
      </w:r>
      <w:r w:rsidR="00DE4F7E">
        <w:rPr>
          <w:rFonts w:cstheme="minorHAnsi"/>
          <w:color w:val="333333"/>
          <w:shd w:val="clear" w:color="auto" w:fill="FFFFFF"/>
        </w:rPr>
        <w:t>aration required</w:t>
      </w:r>
      <w:r w:rsidRPr="00FF3055">
        <w:rPr>
          <w:rFonts w:cstheme="minorHAnsi"/>
          <w:color w:val="333333"/>
          <w:shd w:val="clear" w:color="auto" w:fill="FFFFFF"/>
        </w:rPr>
        <w:t xml:space="preserve"> less aggressive</w:t>
      </w:r>
      <w:r w:rsidR="0054716D">
        <w:rPr>
          <w:rFonts w:cstheme="minorHAnsi"/>
          <w:color w:val="333333"/>
          <w:shd w:val="clear" w:color="auto" w:fill="FFFFFF"/>
        </w:rPr>
        <w:t>,</w:t>
      </w:r>
      <w:r w:rsidRPr="00FF3055">
        <w:rPr>
          <w:rFonts w:cstheme="minorHAnsi"/>
          <w:color w:val="333333"/>
          <w:shd w:val="clear" w:color="auto" w:fill="FFFFFF"/>
        </w:rPr>
        <w:t xml:space="preserve"> so this is a more appropriate investigation for </w:t>
      </w:r>
      <w:r w:rsidR="00DE4F7E">
        <w:rPr>
          <w:rFonts w:cstheme="minorHAnsi"/>
          <w:color w:val="333333"/>
          <w:shd w:val="clear" w:color="auto" w:fill="FFFFFF"/>
        </w:rPr>
        <w:t>patients who are elderly, frail or unsuitable for colonoscopy due to a previous failed procedure.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7ED1B2CF" w14:textId="1FCB6D9D" w:rsidR="006E792C" w:rsidRDefault="00DE4F7E" w:rsidP="003E2CE4">
      <w:pPr>
        <w:rPr>
          <w:rFonts w:cstheme="minorHAnsi"/>
          <w:bCs/>
        </w:rPr>
      </w:pPr>
      <w:r>
        <w:rPr>
          <w:rFonts w:cstheme="minorHAnsi"/>
          <w:bCs/>
        </w:rPr>
        <w:t xml:space="preserve">If a patient is considered </w:t>
      </w:r>
      <w:r w:rsidR="00FF3055" w:rsidRPr="00FF3055">
        <w:rPr>
          <w:rFonts w:cstheme="minorHAnsi"/>
          <w:bCs/>
        </w:rPr>
        <w:t>too frail</w:t>
      </w:r>
      <w:r w:rsidR="00703582">
        <w:rPr>
          <w:rFonts w:cstheme="minorHAnsi"/>
          <w:bCs/>
        </w:rPr>
        <w:t xml:space="preserve"> </w:t>
      </w:r>
      <w:r w:rsidR="0054716D">
        <w:rPr>
          <w:rFonts w:cstheme="minorHAnsi"/>
          <w:bCs/>
        </w:rPr>
        <w:t>or</w:t>
      </w:r>
      <w:r w:rsidR="00703582">
        <w:rPr>
          <w:rFonts w:cstheme="minorHAnsi"/>
          <w:bCs/>
        </w:rPr>
        <w:t xml:space="preserve"> too</w:t>
      </w:r>
      <w:r w:rsidR="0054716D">
        <w:rPr>
          <w:rFonts w:cstheme="minorHAnsi"/>
          <w:bCs/>
        </w:rPr>
        <w:t xml:space="preserve"> immobile</w:t>
      </w:r>
      <w:r w:rsidR="00FF3055" w:rsidRPr="00FF3055">
        <w:rPr>
          <w:rFonts w:cstheme="minorHAnsi"/>
          <w:bCs/>
        </w:rPr>
        <w:t xml:space="preserve"> for </w:t>
      </w:r>
      <w:r w:rsidR="00703582">
        <w:rPr>
          <w:rFonts w:cstheme="minorHAnsi"/>
          <w:bCs/>
        </w:rPr>
        <w:t>CTC</w:t>
      </w:r>
      <w:r w:rsidR="0054716D">
        <w:rPr>
          <w:rFonts w:cstheme="minorHAnsi"/>
          <w:bCs/>
        </w:rPr>
        <w:t xml:space="preserve">, </w:t>
      </w:r>
      <w:r w:rsidR="00FF3055" w:rsidRPr="00FF3055">
        <w:rPr>
          <w:rFonts w:cstheme="minorHAnsi"/>
          <w:bCs/>
        </w:rPr>
        <w:t>then</w:t>
      </w:r>
      <w:r w:rsidR="006E792C">
        <w:rPr>
          <w:rFonts w:cstheme="minorHAnsi"/>
          <w:bCs/>
        </w:rPr>
        <w:t xml:space="preserve"> CT with limited oral contrast can also be </w:t>
      </w:r>
      <w:r w:rsidR="0054716D">
        <w:rPr>
          <w:rFonts w:cstheme="minorHAnsi"/>
          <w:bCs/>
        </w:rPr>
        <w:t xml:space="preserve">booked </w:t>
      </w:r>
      <w:r w:rsidR="00703582">
        <w:rPr>
          <w:rFonts w:cstheme="minorHAnsi"/>
          <w:bCs/>
        </w:rPr>
        <w:t xml:space="preserve">which is </w:t>
      </w:r>
      <w:r w:rsidR="0054716D">
        <w:rPr>
          <w:rFonts w:cstheme="minorHAnsi"/>
          <w:bCs/>
        </w:rPr>
        <w:t>called a minimal preparation CT abdomen and pelvis (</w:t>
      </w:r>
      <w:proofErr w:type="spellStart"/>
      <w:r w:rsidR="0054716D">
        <w:rPr>
          <w:rFonts w:cstheme="minorHAnsi"/>
          <w:bCs/>
        </w:rPr>
        <w:t>mpCTAP</w:t>
      </w:r>
      <w:proofErr w:type="spellEnd"/>
      <w:r w:rsidR="0054716D">
        <w:rPr>
          <w:rFonts w:cstheme="minorHAnsi"/>
          <w:bCs/>
        </w:rPr>
        <w:t>)</w:t>
      </w:r>
      <w:r w:rsidR="002867F5">
        <w:rPr>
          <w:rFonts w:cstheme="minorHAnsi"/>
          <w:bCs/>
        </w:rPr>
        <w:t xml:space="preserve"> on this pathway</w:t>
      </w:r>
      <w:r w:rsidR="006E792C">
        <w:rPr>
          <w:rFonts w:cstheme="minorHAnsi"/>
          <w:bCs/>
        </w:rPr>
        <w:t xml:space="preserve"> </w:t>
      </w:r>
    </w:p>
    <w:p w14:paraId="206D1117" w14:textId="29C94E7C" w:rsidR="0054716D" w:rsidRDefault="0054716D" w:rsidP="003E2CE4">
      <w:pPr>
        <w:rPr>
          <w:rFonts w:cstheme="minorHAnsi"/>
          <w:bCs/>
        </w:rPr>
      </w:pPr>
      <w:r>
        <w:rPr>
          <w:rFonts w:cstheme="minorHAnsi"/>
          <w:bCs/>
        </w:rPr>
        <w:t>If you have a patient with a suspected abdominal mass, then they can be referred on the CT pathway to enable a CT abdomen and pelvis with intravenous contrast (</w:t>
      </w:r>
      <w:proofErr w:type="spellStart"/>
      <w:r>
        <w:rPr>
          <w:rFonts w:cstheme="minorHAnsi"/>
          <w:bCs/>
        </w:rPr>
        <w:t>CTAPiv</w:t>
      </w:r>
      <w:proofErr w:type="spellEnd"/>
      <w:r>
        <w:rPr>
          <w:rFonts w:cstheme="minorHAnsi"/>
          <w:bCs/>
        </w:rPr>
        <w:t>) to be booked.</w:t>
      </w:r>
    </w:p>
    <w:p w14:paraId="169B4ACA" w14:textId="750C6865" w:rsidR="0054716D" w:rsidRDefault="0054716D" w:rsidP="003E2CE4">
      <w:pPr>
        <w:rPr>
          <w:rFonts w:cstheme="minorHAnsi"/>
          <w:bCs/>
        </w:rPr>
      </w:pPr>
      <w:r>
        <w:rPr>
          <w:rFonts w:cstheme="minorHAnsi"/>
          <w:bCs/>
        </w:rPr>
        <w:t xml:space="preserve">Shared decision making about the benefits of investigation of symptoms is important. If you are uncertain about fitness for a </w:t>
      </w:r>
      <w:proofErr w:type="gramStart"/>
      <w:r>
        <w:rPr>
          <w:rFonts w:cstheme="minorHAnsi"/>
          <w:bCs/>
        </w:rPr>
        <w:t>procedure</w:t>
      </w:r>
      <w:proofErr w:type="gramEnd"/>
      <w:r>
        <w:rPr>
          <w:rFonts w:cstheme="minorHAnsi"/>
          <w:bCs/>
        </w:rPr>
        <w:t xml:space="preserve"> please contact secondary care for advice.</w:t>
      </w:r>
    </w:p>
    <w:p w14:paraId="278F167A" w14:textId="70256555" w:rsidR="00FF3055" w:rsidRDefault="00FF3055" w:rsidP="003E2CE4">
      <w:pPr>
        <w:rPr>
          <w:rFonts w:cstheme="minorHAnsi"/>
          <w:bCs/>
        </w:rPr>
      </w:pPr>
      <w:r>
        <w:rPr>
          <w:rFonts w:cstheme="minorHAnsi"/>
          <w:bCs/>
        </w:rPr>
        <w:t>After referral to endoscopy all patients will be contacted</w:t>
      </w:r>
      <w:r w:rsidR="003D227C">
        <w:rPr>
          <w:rFonts w:cstheme="minorHAnsi"/>
          <w:bCs/>
        </w:rPr>
        <w:t xml:space="preserve"> by a member of the endoscopy team</w:t>
      </w:r>
      <w:r>
        <w:rPr>
          <w:rFonts w:cstheme="minorHAnsi"/>
          <w:bCs/>
        </w:rPr>
        <w:t xml:space="preserve"> for further clinical assessment to </w:t>
      </w:r>
      <w:r w:rsidR="003D227C">
        <w:rPr>
          <w:rFonts w:cstheme="minorHAnsi"/>
          <w:bCs/>
        </w:rPr>
        <w:t>check their medical history, medications and discuss the procedure.</w:t>
      </w:r>
    </w:p>
    <w:p w14:paraId="073640EF" w14:textId="64A6A147" w:rsidR="009C5ED1" w:rsidRPr="00FF3055" w:rsidRDefault="009C5ED1" w:rsidP="003E2CE4">
      <w:pPr>
        <w:rPr>
          <w:rFonts w:cstheme="minorHAnsi"/>
          <w:bCs/>
        </w:rPr>
      </w:pPr>
      <w:r>
        <w:rPr>
          <w:rFonts w:cstheme="minorHAnsi"/>
          <w:bCs/>
        </w:rPr>
        <w:t>The usual bow</w:t>
      </w:r>
      <w:r w:rsidR="008C0819">
        <w:rPr>
          <w:rFonts w:cstheme="minorHAnsi"/>
          <w:bCs/>
        </w:rPr>
        <w:t>e</w:t>
      </w:r>
      <w:r>
        <w:rPr>
          <w:rFonts w:cstheme="minorHAnsi"/>
          <w:bCs/>
        </w:rPr>
        <w:t>l preparation</w:t>
      </w:r>
      <w:r w:rsidR="006E792C">
        <w:rPr>
          <w:rFonts w:cstheme="minorHAnsi"/>
          <w:bCs/>
        </w:rPr>
        <w:t xml:space="preserve"> for colonoscopy</w:t>
      </w:r>
      <w:r>
        <w:rPr>
          <w:rFonts w:cstheme="minorHAnsi"/>
          <w:bCs/>
        </w:rPr>
        <w:t xml:space="preserve"> is </w:t>
      </w:r>
      <w:proofErr w:type="spellStart"/>
      <w:r>
        <w:rPr>
          <w:rFonts w:cstheme="minorHAnsi"/>
          <w:bCs/>
        </w:rPr>
        <w:t>Moviprep</w:t>
      </w:r>
      <w:proofErr w:type="spellEnd"/>
      <w:r>
        <w:rPr>
          <w:rFonts w:cstheme="minorHAnsi"/>
          <w:bCs/>
        </w:rPr>
        <w:t xml:space="preserve"> which will be posted to the patient with instructions for use.</w:t>
      </w:r>
      <w:r w:rsidR="006E792C">
        <w:rPr>
          <w:rFonts w:cstheme="minorHAnsi"/>
          <w:bCs/>
        </w:rPr>
        <w:t xml:space="preserve"> </w:t>
      </w:r>
    </w:p>
    <w:p w14:paraId="05536705" w14:textId="6DCD5065" w:rsidR="00FF3055" w:rsidRPr="003E2CE4" w:rsidRDefault="003D227C" w:rsidP="003E2CE4">
      <w:pPr>
        <w:rPr>
          <w:rFonts w:cstheme="minorHAnsi"/>
          <w:b/>
          <w:u w:val="single"/>
        </w:rPr>
      </w:pPr>
      <w:r w:rsidRPr="003E2CE4">
        <w:rPr>
          <w:rFonts w:cstheme="minorHAnsi"/>
          <w:b/>
          <w:u w:val="single"/>
        </w:rPr>
        <w:t>Before Referral</w:t>
      </w:r>
    </w:p>
    <w:p w14:paraId="1B76B8CF" w14:textId="63DCECCD" w:rsidR="006E792C" w:rsidRPr="006E792C" w:rsidRDefault="003D227C" w:rsidP="006E792C">
      <w:pPr>
        <w:pStyle w:val="ListParagraph"/>
        <w:numPr>
          <w:ilvl w:val="0"/>
          <w:numId w:val="3"/>
        </w:numPr>
        <w:rPr>
          <w:rFonts w:cstheme="minorHAnsi"/>
          <w:bCs/>
          <w:u w:val="single"/>
        </w:rPr>
      </w:pPr>
      <w:r w:rsidRPr="003E2CE4">
        <w:rPr>
          <w:rFonts w:cstheme="minorHAnsi"/>
          <w:bCs/>
        </w:rPr>
        <w:t>Assess whether a referral is the right next step for the patient and their fitness for procedure (further information about this is below)</w:t>
      </w:r>
    </w:p>
    <w:p w14:paraId="0F02C251" w14:textId="63FF89F6" w:rsidR="003D227C" w:rsidRPr="003E2CE4" w:rsidRDefault="003D227C" w:rsidP="003E2CE4">
      <w:pPr>
        <w:pStyle w:val="ListParagraph"/>
        <w:numPr>
          <w:ilvl w:val="0"/>
          <w:numId w:val="3"/>
        </w:numPr>
        <w:rPr>
          <w:rFonts w:cstheme="minorHAnsi"/>
          <w:bCs/>
          <w:u w:val="single"/>
        </w:rPr>
      </w:pPr>
      <w:r w:rsidRPr="003E2CE4">
        <w:rPr>
          <w:rFonts w:cstheme="minorHAnsi"/>
          <w:bCs/>
        </w:rPr>
        <w:t>Ensure that patients</w:t>
      </w:r>
      <w:r w:rsidR="0054716D">
        <w:rPr>
          <w:rFonts w:cstheme="minorHAnsi"/>
          <w:bCs/>
        </w:rPr>
        <w:t xml:space="preserve"> undergoing colonoscopy</w:t>
      </w:r>
      <w:r w:rsidRPr="003E2CE4">
        <w:rPr>
          <w:rFonts w:cstheme="minorHAnsi"/>
          <w:bCs/>
        </w:rPr>
        <w:t xml:space="preserve"> have had a recent eGFR check</w:t>
      </w:r>
      <w:r w:rsidR="0054716D">
        <w:rPr>
          <w:rFonts w:cstheme="minorHAnsi"/>
          <w:bCs/>
        </w:rPr>
        <w:t>.</w:t>
      </w:r>
      <w:r w:rsidRPr="003E2CE4">
        <w:rPr>
          <w:rFonts w:cstheme="minorHAnsi"/>
          <w:bCs/>
        </w:rPr>
        <w:t xml:space="preserve"> </w:t>
      </w:r>
      <w:r w:rsidR="0054716D">
        <w:rPr>
          <w:rFonts w:cstheme="minorHAnsi"/>
          <w:bCs/>
        </w:rPr>
        <w:t>I</w:t>
      </w:r>
      <w:r w:rsidRPr="003E2CE4">
        <w:rPr>
          <w:rFonts w:cstheme="minorHAnsi"/>
          <w:bCs/>
        </w:rPr>
        <w:t xml:space="preserve">n patients over the age of 70 </w:t>
      </w:r>
      <w:r w:rsidR="003E2CE4" w:rsidRPr="003E2CE4">
        <w:rPr>
          <w:rFonts w:cstheme="minorHAnsi"/>
          <w:bCs/>
        </w:rPr>
        <w:t xml:space="preserve">or with co-morbidities </w:t>
      </w:r>
      <w:r w:rsidRPr="003E2CE4">
        <w:rPr>
          <w:rFonts w:cstheme="minorHAnsi"/>
          <w:bCs/>
        </w:rPr>
        <w:t>this must be within the previous 3</w:t>
      </w:r>
      <w:r w:rsidR="0054716D">
        <w:rPr>
          <w:rFonts w:cstheme="minorHAnsi"/>
          <w:bCs/>
        </w:rPr>
        <w:t xml:space="preserve"> </w:t>
      </w:r>
      <w:r w:rsidRPr="003E2CE4">
        <w:rPr>
          <w:rFonts w:cstheme="minorHAnsi"/>
          <w:bCs/>
        </w:rPr>
        <w:t>months</w:t>
      </w:r>
    </w:p>
    <w:p w14:paraId="792D6AD6" w14:textId="2DF48090" w:rsidR="003D227C" w:rsidRPr="0054716D" w:rsidRDefault="0054716D" w:rsidP="003E2CE4">
      <w:pPr>
        <w:pStyle w:val="ListParagraph"/>
        <w:numPr>
          <w:ilvl w:val="0"/>
          <w:numId w:val="3"/>
        </w:numPr>
        <w:rPr>
          <w:rFonts w:cstheme="minorHAnsi"/>
          <w:bCs/>
          <w:u w:val="single"/>
        </w:rPr>
      </w:pPr>
      <w:r>
        <w:rPr>
          <w:rFonts w:cstheme="minorHAnsi"/>
          <w:bCs/>
        </w:rPr>
        <w:t>For patients undergoing colonoscopy, please i</w:t>
      </w:r>
      <w:r w:rsidR="003D227C" w:rsidRPr="003E2CE4">
        <w:rPr>
          <w:rFonts w:cstheme="minorHAnsi"/>
          <w:bCs/>
        </w:rPr>
        <w:t>nform the</w:t>
      </w:r>
      <w:r>
        <w:rPr>
          <w:rFonts w:cstheme="minorHAnsi"/>
          <w:bCs/>
        </w:rPr>
        <w:t>m</w:t>
      </w:r>
      <w:r w:rsidR="003D227C" w:rsidRPr="003E2CE4">
        <w:rPr>
          <w:rFonts w:cstheme="minorHAnsi"/>
          <w:bCs/>
        </w:rPr>
        <w:t xml:space="preserve"> that they will need to take bowel preparation, be escorted home following the procedure and be accompanied at home for 24hours after the procedure.</w:t>
      </w:r>
    </w:p>
    <w:p w14:paraId="17F4D5E1" w14:textId="20B82983" w:rsidR="0054716D" w:rsidRPr="00A264C0" w:rsidRDefault="0054716D" w:rsidP="003E2CE4">
      <w:pPr>
        <w:pStyle w:val="ListParagraph"/>
        <w:numPr>
          <w:ilvl w:val="0"/>
          <w:numId w:val="3"/>
        </w:numPr>
        <w:rPr>
          <w:rFonts w:cstheme="minorHAnsi"/>
          <w:bCs/>
          <w:u w:val="single"/>
        </w:rPr>
      </w:pPr>
      <w:r>
        <w:rPr>
          <w:rFonts w:cstheme="minorHAnsi"/>
          <w:bCs/>
        </w:rPr>
        <w:t>For patients undergoing a CTC, please inform them that bowel preparation is still required and that they will require per rectal gas insufflation during the CT.</w:t>
      </w:r>
    </w:p>
    <w:p w14:paraId="02DEAB46" w14:textId="62891CBB" w:rsidR="003D227C" w:rsidRPr="003E2CE4" w:rsidRDefault="003D227C" w:rsidP="003E2CE4">
      <w:pPr>
        <w:rPr>
          <w:rFonts w:cstheme="minorHAnsi"/>
          <w:b/>
          <w:u w:val="single"/>
        </w:rPr>
      </w:pPr>
      <w:r w:rsidRPr="003E2CE4">
        <w:rPr>
          <w:rFonts w:cstheme="minorHAnsi"/>
          <w:b/>
          <w:u w:val="single"/>
        </w:rPr>
        <w:t>With the Referral</w:t>
      </w:r>
    </w:p>
    <w:p w14:paraId="41200D59" w14:textId="0E0AC6B1" w:rsidR="003D227C" w:rsidRPr="003E2CE4" w:rsidRDefault="009C5ED1" w:rsidP="003E2CE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3E2CE4">
        <w:rPr>
          <w:rFonts w:cstheme="minorHAnsi"/>
          <w:bCs/>
        </w:rPr>
        <w:t>Ensure medical history, current medications and a recent U</w:t>
      </w:r>
      <w:r w:rsidR="0054716D">
        <w:rPr>
          <w:rFonts w:cstheme="minorHAnsi"/>
          <w:bCs/>
        </w:rPr>
        <w:t>&amp;Es</w:t>
      </w:r>
      <w:r w:rsidRPr="003E2CE4">
        <w:rPr>
          <w:rFonts w:cstheme="minorHAnsi"/>
          <w:bCs/>
        </w:rPr>
        <w:t xml:space="preserve"> are available to support the triaging clinician who will then </w:t>
      </w:r>
      <w:r w:rsidR="00B82405">
        <w:rPr>
          <w:rFonts w:cstheme="minorHAnsi"/>
          <w:bCs/>
        </w:rPr>
        <w:t>issue the</w:t>
      </w:r>
      <w:r w:rsidRPr="003E2CE4">
        <w:rPr>
          <w:rFonts w:cstheme="minorHAnsi"/>
          <w:bCs/>
        </w:rPr>
        <w:t xml:space="preserve"> bowel prep</w:t>
      </w:r>
      <w:r w:rsidR="0054716D">
        <w:rPr>
          <w:rFonts w:cstheme="minorHAnsi"/>
          <w:bCs/>
        </w:rPr>
        <w:t>aration if a colonoscopy or CTC has been booked</w:t>
      </w:r>
      <w:r w:rsidR="008C0819">
        <w:rPr>
          <w:rFonts w:cstheme="minorHAnsi"/>
          <w:bCs/>
        </w:rPr>
        <w:t>.</w:t>
      </w:r>
    </w:p>
    <w:p w14:paraId="580C38D3" w14:textId="26988A3C" w:rsidR="009C5ED1" w:rsidRDefault="009C5ED1" w:rsidP="003E2CE4">
      <w:pPr>
        <w:rPr>
          <w:rFonts w:cstheme="minorHAnsi"/>
          <w:b/>
          <w:u w:val="single"/>
        </w:rPr>
      </w:pPr>
      <w:r w:rsidRPr="003E2CE4">
        <w:rPr>
          <w:rFonts w:cstheme="minorHAnsi"/>
          <w:b/>
          <w:u w:val="single"/>
        </w:rPr>
        <w:t>For the Procedure</w:t>
      </w: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9C5ED1" w:rsidRPr="003E2CE4" w14:paraId="7044CC5F" w14:textId="77777777" w:rsidTr="003E2CE4">
        <w:trPr>
          <w:trHeight w:val="14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079F5" w14:textId="54B09A40" w:rsidR="00234A4F" w:rsidRPr="00234A4F" w:rsidRDefault="00234A4F" w:rsidP="008A234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u w:val="single"/>
              </w:rPr>
            </w:pPr>
            <w:r w:rsidRPr="00A264C0">
              <w:rPr>
                <w:rFonts w:cstheme="minorHAnsi"/>
                <w:bCs/>
              </w:rPr>
              <w:t>Patients will be consented for the procedure when they attend the unit.</w:t>
            </w:r>
          </w:p>
          <w:p w14:paraId="4E1E85F8" w14:textId="67EF563B" w:rsidR="00234A4F" w:rsidRPr="00234A4F" w:rsidRDefault="00234A4F" w:rsidP="008A234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u w:val="single"/>
              </w:rPr>
            </w:pPr>
            <w:r w:rsidRPr="00234A4F">
              <w:rPr>
                <w:rFonts w:cstheme="minorHAnsi"/>
                <w:bCs/>
              </w:rPr>
              <w:t>Patients need to be able to lie flat and move around</w:t>
            </w:r>
            <w:r>
              <w:rPr>
                <w:rFonts w:cstheme="minorHAnsi"/>
                <w:bCs/>
              </w:rPr>
              <w:t xml:space="preserve"> during the </w:t>
            </w:r>
            <w:proofErr w:type="gramStart"/>
            <w:r>
              <w:rPr>
                <w:rFonts w:cstheme="minorHAnsi"/>
                <w:bCs/>
              </w:rPr>
              <w:t>procedure</w:t>
            </w:r>
            <w:r w:rsidR="0054716D">
              <w:rPr>
                <w:rFonts w:cstheme="minorHAnsi"/>
                <w:bCs/>
              </w:rPr>
              <w:t>, unless</w:t>
            </w:r>
            <w:proofErr w:type="gramEnd"/>
            <w:r w:rsidR="0054716D">
              <w:rPr>
                <w:rFonts w:cstheme="minorHAnsi"/>
                <w:bCs/>
              </w:rPr>
              <w:t xml:space="preserve"> they are having </w:t>
            </w:r>
            <w:r w:rsidR="002867F5">
              <w:rPr>
                <w:rFonts w:cstheme="minorHAnsi"/>
                <w:bCs/>
              </w:rPr>
              <w:t xml:space="preserve">a </w:t>
            </w:r>
            <w:bookmarkStart w:id="0" w:name="_Hlk121393640"/>
            <w:proofErr w:type="spellStart"/>
            <w:r w:rsidR="002867F5">
              <w:rPr>
                <w:rFonts w:cstheme="minorHAnsi"/>
                <w:bCs/>
              </w:rPr>
              <w:t>mpCTAP</w:t>
            </w:r>
            <w:proofErr w:type="spellEnd"/>
            <w:r w:rsidR="002867F5">
              <w:rPr>
                <w:rFonts w:cstheme="minorHAnsi"/>
                <w:bCs/>
              </w:rPr>
              <w:t xml:space="preserve"> or </w:t>
            </w:r>
            <w:proofErr w:type="spellStart"/>
            <w:r w:rsidR="002867F5">
              <w:rPr>
                <w:rFonts w:cstheme="minorHAnsi"/>
                <w:bCs/>
              </w:rPr>
              <w:t>CTAPiv</w:t>
            </w:r>
            <w:proofErr w:type="spellEnd"/>
            <w:r w:rsidR="002867F5">
              <w:rPr>
                <w:rFonts w:cstheme="minorHAnsi"/>
                <w:bCs/>
              </w:rPr>
              <w:t>.</w:t>
            </w:r>
            <w:bookmarkEnd w:id="0"/>
          </w:p>
          <w:p w14:paraId="73D12C18" w14:textId="77777777" w:rsidR="003E2CE4" w:rsidRDefault="009C5ED1" w:rsidP="008A234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E2CE4">
              <w:rPr>
                <w:rFonts w:cstheme="minorHAnsi"/>
              </w:rPr>
              <w:t>Patients taking the following medications will be asked to stop taking them on the day bowel</w:t>
            </w:r>
          </w:p>
          <w:p w14:paraId="3C2B2426" w14:textId="0F3967DB" w:rsidR="00234A4F" w:rsidRPr="00234A4F" w:rsidRDefault="009C5ED1" w:rsidP="008A234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E2CE4">
              <w:rPr>
                <w:rFonts w:cstheme="minorHAnsi"/>
              </w:rPr>
              <w:t>preparation is taken and to restart after 72 hours:</w:t>
            </w:r>
            <w:r w:rsidR="00A264C0">
              <w:rPr>
                <w:rFonts w:cstheme="minorHAnsi"/>
              </w:rPr>
              <w:t xml:space="preserve"> </w:t>
            </w:r>
            <w:r w:rsidR="004F5111">
              <w:rPr>
                <w:rFonts w:cstheme="minorHAnsi"/>
              </w:rPr>
              <w:t>A</w:t>
            </w:r>
            <w:r w:rsidR="002867F5">
              <w:rPr>
                <w:rFonts w:cstheme="minorHAnsi"/>
              </w:rPr>
              <w:t>CE</w:t>
            </w:r>
            <w:r w:rsidR="004F5111">
              <w:rPr>
                <w:rFonts w:cstheme="minorHAnsi"/>
              </w:rPr>
              <w:t xml:space="preserve"> Inhibitors, </w:t>
            </w:r>
            <w:r w:rsidR="002867F5">
              <w:rPr>
                <w:rFonts w:cstheme="minorHAnsi"/>
              </w:rPr>
              <w:t>Beta-b</w:t>
            </w:r>
            <w:r w:rsidR="004F5111">
              <w:rPr>
                <w:rFonts w:cstheme="minorHAnsi"/>
              </w:rPr>
              <w:t>lockers, NSAIDs, Loop Diuretics</w:t>
            </w:r>
            <w:r w:rsidR="00A264C0">
              <w:rPr>
                <w:rFonts w:cstheme="minorHAnsi"/>
              </w:rPr>
              <w:t xml:space="preserve"> </w:t>
            </w:r>
          </w:p>
          <w:p w14:paraId="09BB44A3" w14:textId="1290EC36" w:rsidR="008A2346" w:rsidRPr="008A2346" w:rsidRDefault="00A264C0" w:rsidP="008A234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information will be given to patients by the endoscopy department as well as a number to contact if </w:t>
            </w:r>
            <w:r>
              <w:rPr>
                <w:rFonts w:cstheme="minorHAnsi"/>
              </w:rPr>
              <w:lastRenderedPageBreak/>
              <w:t>they have any concern</w:t>
            </w:r>
            <w:r w:rsidR="008A2346">
              <w:rPr>
                <w:rFonts w:cstheme="minorHAnsi"/>
              </w:rPr>
              <w:t>s.</w:t>
            </w:r>
          </w:p>
        </w:tc>
      </w:tr>
      <w:tr w:rsidR="009C5ED1" w:rsidRPr="003E2CE4" w14:paraId="6B6C4C89" w14:textId="77777777" w:rsidTr="009C5ED1">
        <w:trPr>
          <w:trHeight w:val="3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48F8A" w14:textId="35645C7D" w:rsidR="00FB101F" w:rsidRPr="00A264C0" w:rsidRDefault="00FB101F" w:rsidP="008A234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A264C0">
              <w:rPr>
                <w:rFonts w:cstheme="minorHAnsi"/>
              </w:rPr>
              <w:lastRenderedPageBreak/>
              <w:t xml:space="preserve">Bowel cleansing medicine may modify the absorption of regularly prescribed medications during the treatment period </w:t>
            </w:r>
            <w:proofErr w:type="gramStart"/>
            <w:r w:rsidRPr="00A264C0">
              <w:rPr>
                <w:rFonts w:cstheme="minorHAnsi"/>
              </w:rPr>
              <w:t>e.g.</w:t>
            </w:r>
            <w:proofErr w:type="gramEnd"/>
            <w:r w:rsidRPr="00A264C0">
              <w:rPr>
                <w:rFonts w:cstheme="minorHAnsi"/>
              </w:rPr>
              <w:t xml:space="preserve"> antiepileptics, oral contraceptives, oral hypoglycaemics, antibiotics and immunosuppressant’s (caution with transplant patients).</w:t>
            </w:r>
          </w:p>
          <w:p w14:paraId="2998F142" w14:textId="3E63075E" w:rsidR="00FB101F" w:rsidRPr="003E2CE4" w:rsidRDefault="00FB101F" w:rsidP="008A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</w:tbl>
    <w:p w14:paraId="3012674C" w14:textId="77777777" w:rsidR="003E2CE4" w:rsidRDefault="003E2CE4" w:rsidP="002867F5">
      <w:pPr>
        <w:rPr>
          <w:rFonts w:ascii="Arial" w:hAnsi="Arial"/>
          <w:b/>
          <w:sz w:val="18"/>
          <w:szCs w:val="18"/>
          <w:u w:val="single"/>
        </w:rPr>
      </w:pPr>
    </w:p>
    <w:p w14:paraId="11D482EF" w14:textId="33F1B3FF" w:rsidR="003E2CE4" w:rsidRDefault="003E2CE4" w:rsidP="003E2CE4">
      <w:pPr>
        <w:jc w:val="center"/>
        <w:rPr>
          <w:rFonts w:cstheme="minorHAnsi"/>
          <w:b/>
          <w:sz w:val="28"/>
          <w:szCs w:val="28"/>
          <w:u w:val="single"/>
        </w:rPr>
      </w:pPr>
      <w:r w:rsidRPr="003E2CE4">
        <w:rPr>
          <w:rFonts w:cstheme="minorHAnsi"/>
          <w:b/>
          <w:sz w:val="28"/>
          <w:szCs w:val="28"/>
          <w:u w:val="single"/>
        </w:rPr>
        <w:t>Contraindications</w:t>
      </w:r>
    </w:p>
    <w:p w14:paraId="5A930EC8" w14:textId="77777777" w:rsidR="003E2CE4" w:rsidRPr="003E2CE4" w:rsidRDefault="003E2CE4" w:rsidP="003E2CE4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425"/>
        <w:gridCol w:w="4961"/>
      </w:tblGrid>
      <w:tr w:rsidR="00FF3055" w:rsidRPr="003E2CE4" w14:paraId="54DF43DF" w14:textId="77777777" w:rsidTr="009C5ED1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3FF75" w14:textId="77777777" w:rsidR="00FF3055" w:rsidRPr="003E2CE4" w:rsidRDefault="00FF3055">
            <w:pPr>
              <w:rPr>
                <w:rFonts w:cstheme="minorHAnsi"/>
                <w:b/>
              </w:rPr>
            </w:pPr>
            <w:r w:rsidRPr="003E2CE4">
              <w:rPr>
                <w:rFonts w:cstheme="minorHAnsi"/>
                <w:b/>
              </w:rPr>
              <w:t>Note 1: Contraindications to colonoscopy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BE533" w14:textId="77777777" w:rsidR="00FF3055" w:rsidRPr="003E2CE4" w:rsidRDefault="00FF3055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AA1E" w14:textId="77777777" w:rsidR="00FF3055" w:rsidRPr="003E2CE4" w:rsidRDefault="00FF3055">
            <w:pPr>
              <w:rPr>
                <w:rFonts w:cstheme="minorHAnsi"/>
              </w:rPr>
            </w:pPr>
          </w:p>
        </w:tc>
      </w:tr>
      <w:tr w:rsidR="00FF3055" w:rsidRPr="003E2CE4" w14:paraId="7EDC89CD" w14:textId="77777777" w:rsidTr="009C5ED1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BAF56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42" w:hanging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Severe acute colitis</w:t>
            </w:r>
          </w:p>
          <w:p w14:paraId="50C22A3E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42" w:hanging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Recent myocardial infarct (within 6 months)</w:t>
            </w:r>
          </w:p>
          <w:p w14:paraId="43DB689C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42" w:hanging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Severe cardio-respiratory disease</w:t>
            </w:r>
          </w:p>
          <w:p w14:paraId="53490B94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42" w:hanging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Suspected colonic obstruction</w:t>
            </w:r>
          </w:p>
          <w:p w14:paraId="344DFD9D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42" w:hanging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Suspected colonic obstruction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4980" w14:textId="77777777" w:rsidR="00FF3055" w:rsidRPr="003E2CE4" w:rsidRDefault="00FF3055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B88B2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98" w:hanging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Acute diverticulitis</w:t>
            </w:r>
          </w:p>
          <w:p w14:paraId="7AD7DC4B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98" w:hanging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Large abdominal aortic aneurysm</w:t>
            </w:r>
          </w:p>
          <w:p w14:paraId="462B1BF6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98" w:hanging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Suspected perforated viscera</w:t>
            </w:r>
          </w:p>
        </w:tc>
      </w:tr>
      <w:tr w:rsidR="00FF3055" w:rsidRPr="003E2CE4" w14:paraId="17CDE864" w14:textId="77777777" w:rsidTr="009C5ED1">
        <w:trPr>
          <w:trHeight w:val="2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6AB7" w14:textId="77777777" w:rsidR="00FF3055" w:rsidRPr="003E2CE4" w:rsidRDefault="00FF3055">
            <w:pPr>
              <w:rPr>
                <w:rFonts w:cstheme="minorHAnsi"/>
                <w:b/>
              </w:rPr>
            </w:pPr>
          </w:p>
        </w:tc>
      </w:tr>
      <w:tr w:rsidR="00FF3055" w:rsidRPr="003E2CE4" w14:paraId="60354854" w14:textId="77777777" w:rsidTr="009C5ED1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90C2F" w14:textId="77777777" w:rsidR="00FF3055" w:rsidRPr="003E2CE4" w:rsidRDefault="00FF3055">
            <w:pPr>
              <w:rPr>
                <w:rFonts w:cstheme="minorHAnsi"/>
              </w:rPr>
            </w:pPr>
            <w:r w:rsidRPr="003E2CE4">
              <w:rPr>
                <w:rFonts w:cstheme="minorHAnsi"/>
                <w:b/>
              </w:rPr>
              <w:t>Note 2: Contraindications for the use of bowel cleansing solutions</w:t>
            </w:r>
          </w:p>
        </w:tc>
      </w:tr>
      <w:tr w:rsidR="00FF3055" w:rsidRPr="003E2CE4" w14:paraId="376A9F50" w14:textId="77777777" w:rsidTr="009C5ED1">
        <w:trPr>
          <w:trHeight w:val="20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4B5E0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 xml:space="preserve">Obstruction, </w:t>
            </w:r>
            <w:proofErr w:type="gramStart"/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perforation</w:t>
            </w:r>
            <w:proofErr w:type="gramEnd"/>
            <w:r w:rsidRPr="003E2CE4">
              <w:rPr>
                <w:rFonts w:asciiTheme="minorHAnsi" w:hAnsiTheme="minorHAnsi" w:cstheme="minorHAnsi"/>
                <w:sz w:val="22"/>
                <w:szCs w:val="22"/>
              </w:rPr>
              <w:t xml:space="preserve"> or ileus</w:t>
            </w:r>
          </w:p>
          <w:p w14:paraId="566239C6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Acute intestinal or gastric ulceration</w:t>
            </w:r>
          </w:p>
          <w:p w14:paraId="114F543F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 xml:space="preserve">Renal impairment – evaluation will be by triaging clinician with U&amp;Es supplied. CKD 4/5 usually required inpatient prep with </w:t>
            </w:r>
            <w:proofErr w:type="spellStart"/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ivi</w:t>
            </w:r>
            <w:proofErr w:type="spellEnd"/>
            <w:r w:rsidRPr="003E2CE4">
              <w:rPr>
                <w:rFonts w:asciiTheme="minorHAnsi" w:hAnsiTheme="minorHAnsi" w:cstheme="minorHAnsi"/>
                <w:sz w:val="22"/>
                <w:szCs w:val="22"/>
              </w:rPr>
              <w:t xml:space="preserve"> support.</w:t>
            </w:r>
          </w:p>
          <w:p w14:paraId="2B5FBD45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History or known risk of electrolyte imbalance</w:t>
            </w:r>
          </w:p>
          <w:p w14:paraId="12ECC561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Known hypersensitivity to any of the ingredients</w:t>
            </w:r>
          </w:p>
          <w:p w14:paraId="205CCE64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 xml:space="preserve">Gastrointestinal surgery in </w:t>
            </w:r>
            <w:proofErr w:type="spellStart"/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proceeding</w:t>
            </w:r>
            <w:proofErr w:type="spellEnd"/>
            <w:r w:rsidRPr="003E2CE4">
              <w:rPr>
                <w:rFonts w:asciiTheme="minorHAnsi" w:hAnsiTheme="minorHAnsi" w:cstheme="minorHAnsi"/>
                <w:sz w:val="22"/>
                <w:szCs w:val="22"/>
              </w:rPr>
              <w:t xml:space="preserve"> 3 months or Ileostomy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95FE" w14:textId="77777777" w:rsidR="00FF3055" w:rsidRPr="003E2CE4" w:rsidRDefault="00FF3055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194E593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Gastric stasis,</w:t>
            </w:r>
          </w:p>
          <w:p w14:paraId="38380A00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Difficulty swallowing</w:t>
            </w:r>
          </w:p>
          <w:p w14:paraId="58E4746C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Severe acute inflammatory bowel disease</w:t>
            </w:r>
          </w:p>
          <w:p w14:paraId="4F532594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Severe congestive heart failure</w:t>
            </w:r>
          </w:p>
          <w:p w14:paraId="43D59082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Reduced level of consciousness</w:t>
            </w:r>
          </w:p>
          <w:p w14:paraId="73159AB9" w14:textId="77777777" w:rsidR="00FF3055" w:rsidRPr="003E2CE4" w:rsidRDefault="00FF3055" w:rsidP="009C0906">
            <w:pPr>
              <w:pStyle w:val="ColorfulList-Accent11"/>
              <w:numPr>
                <w:ilvl w:val="0"/>
                <w:numId w:val="2"/>
              </w:numPr>
              <w:ind w:lef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3E2CE4">
              <w:rPr>
                <w:rFonts w:asciiTheme="minorHAnsi" w:hAnsiTheme="minorHAnsi" w:cstheme="minorHAnsi"/>
                <w:sz w:val="22"/>
                <w:szCs w:val="22"/>
              </w:rPr>
              <w:t>Patient taking lithium</w:t>
            </w:r>
          </w:p>
          <w:p w14:paraId="1EDDA0B2" w14:textId="77777777" w:rsidR="00FF3055" w:rsidRPr="003E2CE4" w:rsidRDefault="00FF3055">
            <w:pPr>
              <w:pStyle w:val="ColorfulList-Accent11"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15C362" w14:textId="1AE3FAD4" w:rsidR="00FF3055" w:rsidRDefault="00FF3055" w:rsidP="009C5ED1">
      <w:pPr>
        <w:rPr>
          <w:rFonts w:cstheme="minorHAnsi"/>
        </w:rPr>
      </w:pPr>
    </w:p>
    <w:p w14:paraId="371A4FE3" w14:textId="07778C23" w:rsidR="00703582" w:rsidRDefault="00703582" w:rsidP="009C5ED1">
      <w:pPr>
        <w:rPr>
          <w:rFonts w:cstheme="minorHAnsi"/>
        </w:rPr>
      </w:pPr>
    </w:p>
    <w:p w14:paraId="6CC06421" w14:textId="77777777" w:rsidR="00703582" w:rsidRPr="003E2CE4" w:rsidRDefault="00703582" w:rsidP="009C5ED1">
      <w:pPr>
        <w:rPr>
          <w:rFonts w:cstheme="minorHAnsi"/>
        </w:rPr>
      </w:pPr>
    </w:p>
    <w:sectPr w:rsidR="00703582" w:rsidRPr="003E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145"/>
    <w:multiLevelType w:val="hybridMultilevel"/>
    <w:tmpl w:val="B21C7FC8"/>
    <w:lvl w:ilvl="0" w:tplc="DE3C3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7E0C"/>
    <w:multiLevelType w:val="hybridMultilevel"/>
    <w:tmpl w:val="FFFFFFFF"/>
    <w:lvl w:ilvl="0" w:tplc="0180D27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0E0E"/>
    <w:multiLevelType w:val="hybridMultilevel"/>
    <w:tmpl w:val="FFFFFFFF"/>
    <w:lvl w:ilvl="0" w:tplc="EC68F27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 w16cid:durableId="188184449">
    <w:abstractNumId w:val="2"/>
  </w:num>
  <w:num w:numId="2" w16cid:durableId="645820235">
    <w:abstractNumId w:val="1"/>
  </w:num>
  <w:num w:numId="3" w16cid:durableId="17569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55"/>
    <w:rsid w:val="00002A63"/>
    <w:rsid w:val="00234450"/>
    <w:rsid w:val="00234A4F"/>
    <w:rsid w:val="002867F5"/>
    <w:rsid w:val="003D227C"/>
    <w:rsid w:val="003D7DE6"/>
    <w:rsid w:val="003E2CE4"/>
    <w:rsid w:val="004155F6"/>
    <w:rsid w:val="004F5111"/>
    <w:rsid w:val="0054716D"/>
    <w:rsid w:val="006E792C"/>
    <w:rsid w:val="00703582"/>
    <w:rsid w:val="008A2346"/>
    <w:rsid w:val="008C0819"/>
    <w:rsid w:val="009C5ED1"/>
    <w:rsid w:val="00A264C0"/>
    <w:rsid w:val="00A54585"/>
    <w:rsid w:val="00B82405"/>
    <w:rsid w:val="00DC3EB0"/>
    <w:rsid w:val="00DE4F7E"/>
    <w:rsid w:val="00FB101F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27EC"/>
  <w15:chartTrackingRefBased/>
  <w15:docId w15:val="{68763552-39C0-4B17-9AE8-F8CCE45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F305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F3055"/>
    <w:rPr>
      <w:b/>
      <w:bCs/>
    </w:rPr>
  </w:style>
  <w:style w:type="paragraph" w:styleId="ListParagraph">
    <w:name w:val="List Paragraph"/>
    <w:basedOn w:val="Normal"/>
    <w:uiPriority w:val="34"/>
    <w:qFormat/>
    <w:rsid w:val="003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Glenda (NHS BRISTOL, NORTH SOMERSET AND SOUTH GLOUCESTERSHIRE CCG)</dc:creator>
  <cp:keywords/>
  <dc:description/>
  <cp:lastModifiedBy>ADAMS, Rob (NHS BRISTOL, NORTH SOMERSET AND SOUTH GLOUCESTERSHIRE ICB - 15C)</cp:lastModifiedBy>
  <cp:revision>2</cp:revision>
  <dcterms:created xsi:type="dcterms:W3CDTF">2023-03-10T12:35:00Z</dcterms:created>
  <dcterms:modified xsi:type="dcterms:W3CDTF">2023-03-10T12:35:00Z</dcterms:modified>
</cp:coreProperties>
</file>