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980A1C" w:rsidRPr="00E57077" w:rsidRDefault="001A6563">
      <w:pPr>
        <w:rPr>
          <w:rFonts w:ascii="Arial" w:hAnsi="Arial"/>
          <w:b/>
          <w:bCs/>
          <w:color w:val="4472C4" w:themeColor="accent1"/>
          <w:sz w:val="32"/>
          <w:szCs w:val="28"/>
        </w:rPr>
      </w:pPr>
      <w:r w:rsidRPr="00E57077">
        <w:rPr>
          <w:rFonts w:ascii="Arial" w:hAnsi="Arial"/>
          <w:b/>
          <w:bCs/>
          <w:color w:val="4472C4" w:themeColor="accent1"/>
          <w:sz w:val="32"/>
          <w:szCs w:val="28"/>
        </w:rPr>
        <w:t>Improving and updating your learning disability register</w:t>
      </w:r>
    </w:p>
    <w:p w:rsidR="001A6563" w:rsidRPr="00E57077" w:rsidRDefault="001A6563">
      <w:pPr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 xml:space="preserve">Here is a practical summary based on the NHE document </w:t>
      </w:r>
      <w:hyperlink r:id="rId5" w:history="1">
        <w:r w:rsidRPr="00E57077">
          <w:rPr>
            <w:rStyle w:val="Hyperlink"/>
            <w:rFonts w:ascii="Arial" w:hAnsi="Arial"/>
            <w:sz w:val="28"/>
            <w:szCs w:val="28"/>
          </w:rPr>
          <w:t xml:space="preserve">NHS England » </w:t>
        </w:r>
        <w:proofErr w:type="gramStart"/>
        <w:r w:rsidRPr="00E57077">
          <w:rPr>
            <w:rStyle w:val="Hyperlink"/>
            <w:rFonts w:ascii="Arial" w:hAnsi="Arial"/>
            <w:sz w:val="28"/>
            <w:szCs w:val="28"/>
          </w:rPr>
          <w:t>Improving</w:t>
        </w:r>
        <w:proofErr w:type="gramEnd"/>
        <w:r w:rsidRPr="00E57077">
          <w:rPr>
            <w:rStyle w:val="Hyperlink"/>
            <w:rFonts w:ascii="Arial" w:hAnsi="Arial"/>
            <w:sz w:val="28"/>
            <w:szCs w:val="28"/>
          </w:rPr>
          <w:t xml:space="preserve"> identification of people with a learning disability: guidance for general practice</w:t>
        </w:r>
      </w:hyperlink>
    </w:p>
    <w:p w:rsidR="00186724" w:rsidRPr="00E57077" w:rsidRDefault="001A6563" w:rsidP="001A6563">
      <w:pPr>
        <w:spacing w:after="0"/>
        <w:rPr>
          <w:rFonts w:ascii="Arial" w:hAnsi="Arial"/>
          <w:b/>
          <w:bCs/>
          <w:sz w:val="28"/>
          <w:szCs w:val="28"/>
          <w:u w:val="single"/>
        </w:rPr>
      </w:pPr>
      <w:r w:rsidRPr="00E57077">
        <w:rPr>
          <w:rFonts w:ascii="Arial" w:hAnsi="Arial"/>
          <w:b/>
          <w:bCs/>
          <w:sz w:val="28"/>
          <w:szCs w:val="28"/>
          <w:u w:val="single"/>
        </w:rPr>
        <w:t>Why?</w:t>
      </w:r>
    </w:p>
    <w:p w:rsidR="001A6563" w:rsidRPr="00E57077" w:rsidRDefault="00186724" w:rsidP="001A6563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 xml:space="preserve">People with learning disability have significantly poorer health outcomes. </w:t>
      </w:r>
      <w:r w:rsidR="001A6563" w:rsidRPr="00E57077">
        <w:rPr>
          <w:rFonts w:ascii="Arial" w:hAnsi="Arial"/>
          <w:sz w:val="28"/>
          <w:szCs w:val="28"/>
        </w:rPr>
        <w:t xml:space="preserve"> Including patients with learning disability to your register will entitle them to an annual health check</w:t>
      </w:r>
      <w:r w:rsidRPr="00E57077">
        <w:rPr>
          <w:rFonts w:ascii="Arial" w:hAnsi="Arial"/>
          <w:sz w:val="28"/>
          <w:szCs w:val="28"/>
        </w:rPr>
        <w:t xml:space="preserve"> from the age of </w:t>
      </w:r>
      <w:proofErr w:type="gramStart"/>
      <w:r w:rsidRPr="00E57077">
        <w:rPr>
          <w:rFonts w:ascii="Arial" w:hAnsi="Arial"/>
          <w:sz w:val="28"/>
          <w:szCs w:val="28"/>
        </w:rPr>
        <w:t>14</w:t>
      </w:r>
      <w:r w:rsidR="001A6563" w:rsidRPr="00E57077">
        <w:rPr>
          <w:rFonts w:ascii="Arial" w:hAnsi="Arial"/>
          <w:sz w:val="28"/>
          <w:szCs w:val="28"/>
        </w:rPr>
        <w:t>,</w:t>
      </w:r>
      <w:proofErr w:type="gramEnd"/>
      <w:r w:rsidR="001A6563" w:rsidRPr="00E57077">
        <w:rPr>
          <w:rFonts w:ascii="Arial" w:hAnsi="Arial"/>
          <w:sz w:val="28"/>
          <w:szCs w:val="28"/>
        </w:rPr>
        <w:t xml:space="preserve"> annual flu vaccination and you can document and make reasonable adjustments</w:t>
      </w:r>
      <w:r w:rsidRPr="00E57077">
        <w:rPr>
          <w:rFonts w:ascii="Arial" w:hAnsi="Arial"/>
          <w:sz w:val="28"/>
          <w:szCs w:val="28"/>
        </w:rPr>
        <w:t xml:space="preserve"> to allow equal access to healthcare</w:t>
      </w:r>
      <w:r w:rsidR="001A6563" w:rsidRPr="00E57077">
        <w:rPr>
          <w:rFonts w:ascii="Arial" w:hAnsi="Arial"/>
          <w:sz w:val="28"/>
          <w:szCs w:val="28"/>
        </w:rPr>
        <w:t>.</w:t>
      </w:r>
    </w:p>
    <w:p w:rsidR="001A6563" w:rsidRPr="00E57077" w:rsidRDefault="001A6563" w:rsidP="001A6563">
      <w:pPr>
        <w:spacing w:after="0"/>
        <w:rPr>
          <w:rFonts w:ascii="Arial" w:hAnsi="Arial"/>
          <w:sz w:val="28"/>
          <w:szCs w:val="28"/>
        </w:rPr>
      </w:pPr>
    </w:p>
    <w:p w:rsidR="001A6563" w:rsidRPr="00E57077" w:rsidRDefault="001A6563" w:rsidP="001A6563">
      <w:pPr>
        <w:spacing w:after="0"/>
        <w:rPr>
          <w:rFonts w:ascii="Arial" w:hAnsi="Arial"/>
          <w:b/>
          <w:bCs/>
          <w:sz w:val="28"/>
          <w:szCs w:val="28"/>
          <w:u w:val="single"/>
        </w:rPr>
      </w:pPr>
      <w:r w:rsidRPr="00E57077">
        <w:rPr>
          <w:rFonts w:ascii="Arial" w:hAnsi="Arial"/>
          <w:b/>
          <w:bCs/>
          <w:sz w:val="28"/>
          <w:szCs w:val="28"/>
          <w:u w:val="single"/>
        </w:rPr>
        <w:t>Who to include on the learning disability register?</w:t>
      </w:r>
    </w:p>
    <w:p w:rsidR="001A6563" w:rsidRPr="00E57077" w:rsidRDefault="001A6563" w:rsidP="001A6563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 xml:space="preserve">Ask the 2 questions: </w:t>
      </w:r>
    </w:p>
    <w:p w:rsidR="001A6563" w:rsidRPr="00E57077" w:rsidRDefault="001A6563" w:rsidP="001A6563">
      <w:pPr>
        <w:spacing w:after="0" w:line="240" w:lineRule="auto"/>
        <w:rPr>
          <w:rFonts w:ascii="Arial" w:hAnsi="Arial"/>
          <w:i/>
          <w:iCs/>
          <w:sz w:val="28"/>
          <w:szCs w:val="28"/>
        </w:rPr>
      </w:pPr>
      <w:r w:rsidRPr="00E57077">
        <w:rPr>
          <w:rFonts w:ascii="Arial" w:hAnsi="Arial"/>
          <w:i/>
          <w:iCs/>
          <w:sz w:val="28"/>
          <w:szCs w:val="28"/>
        </w:rPr>
        <w:t xml:space="preserve">Do I suspect this person has a learning disability? </w:t>
      </w:r>
    </w:p>
    <w:p w:rsidR="001A6563" w:rsidRPr="00E57077" w:rsidRDefault="001A6563" w:rsidP="001A6563">
      <w:pPr>
        <w:spacing w:after="0" w:line="240" w:lineRule="auto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>And</w:t>
      </w:r>
    </w:p>
    <w:p w:rsidR="001A6563" w:rsidRPr="00E57077" w:rsidRDefault="001A6563" w:rsidP="001A6563">
      <w:pPr>
        <w:spacing w:after="0" w:line="240" w:lineRule="auto"/>
        <w:rPr>
          <w:rFonts w:ascii="Arial" w:hAnsi="Arial"/>
          <w:i/>
          <w:iCs/>
          <w:sz w:val="28"/>
          <w:szCs w:val="28"/>
        </w:rPr>
      </w:pPr>
      <w:r w:rsidRPr="00E57077">
        <w:rPr>
          <w:rFonts w:ascii="Arial" w:hAnsi="Arial"/>
          <w:i/>
          <w:iCs/>
          <w:sz w:val="28"/>
          <w:szCs w:val="28"/>
        </w:rPr>
        <w:t>Will they benefit from being included on the register?</w:t>
      </w:r>
    </w:p>
    <w:p w:rsidR="00E57077" w:rsidRDefault="00E57077" w:rsidP="001A6563">
      <w:pPr>
        <w:spacing w:after="0"/>
        <w:rPr>
          <w:rFonts w:ascii="Arial" w:hAnsi="Arial"/>
          <w:sz w:val="28"/>
          <w:szCs w:val="28"/>
        </w:rPr>
      </w:pPr>
    </w:p>
    <w:p w:rsidR="001A6563" w:rsidRPr="00E57077" w:rsidRDefault="001A6563" w:rsidP="001A6563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>There is no need for a referral or formal diagnosis to include patients on your register.</w:t>
      </w:r>
    </w:p>
    <w:p w:rsidR="001A6563" w:rsidRPr="00E57077" w:rsidRDefault="001A6563" w:rsidP="001A6563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>Use the code</w:t>
      </w:r>
      <w:r w:rsidR="00C15316" w:rsidRPr="00E57077">
        <w:rPr>
          <w:rFonts w:ascii="Arial" w:hAnsi="Arial"/>
          <w:sz w:val="28"/>
          <w:szCs w:val="28"/>
        </w:rPr>
        <w:t xml:space="preserve"> </w:t>
      </w:r>
      <w:r w:rsidR="00C15316" w:rsidRPr="00E57077">
        <w:rPr>
          <w:rFonts w:ascii="Arial" w:hAnsi="Arial"/>
          <w:b/>
          <w:bCs/>
          <w:color w:val="2E74B5" w:themeColor="accent5" w:themeShade="BF"/>
          <w:sz w:val="28"/>
          <w:szCs w:val="28"/>
        </w:rPr>
        <w:t>SNOMED CT code 416075005 “On learning disability register”</w:t>
      </w:r>
    </w:p>
    <w:p w:rsidR="001A6563" w:rsidRPr="00E57077" w:rsidRDefault="001A6563" w:rsidP="001A6563">
      <w:pPr>
        <w:spacing w:after="0"/>
        <w:rPr>
          <w:rFonts w:ascii="Arial" w:hAnsi="Arial"/>
          <w:sz w:val="28"/>
          <w:szCs w:val="28"/>
        </w:rPr>
      </w:pPr>
    </w:p>
    <w:p w:rsidR="001A6563" w:rsidRPr="00E57077" w:rsidRDefault="001A6563" w:rsidP="001A6563">
      <w:pPr>
        <w:spacing w:after="0"/>
        <w:rPr>
          <w:rFonts w:ascii="Arial" w:hAnsi="Arial"/>
          <w:b/>
          <w:bCs/>
          <w:sz w:val="28"/>
          <w:szCs w:val="28"/>
          <w:u w:val="single"/>
        </w:rPr>
      </w:pPr>
      <w:r w:rsidRPr="00E57077">
        <w:rPr>
          <w:rFonts w:ascii="Arial" w:hAnsi="Arial"/>
          <w:b/>
          <w:bCs/>
          <w:sz w:val="28"/>
          <w:szCs w:val="28"/>
          <w:u w:val="single"/>
        </w:rPr>
        <w:t>The learning disability inclusion tool</w:t>
      </w:r>
    </w:p>
    <w:p w:rsidR="001A6563" w:rsidRPr="00E57077" w:rsidRDefault="001A6563" w:rsidP="001A6563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>This is an easy tool to help assess your patient if you are not sure if they should be included in the learning disability register</w:t>
      </w:r>
    </w:p>
    <w:p w:rsidR="00013855" w:rsidRPr="00E57077" w:rsidRDefault="00013855" w:rsidP="003D3BAD">
      <w:pPr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 xml:space="preserve">Direct link: </w:t>
      </w:r>
      <w:hyperlink r:id="rId6" w:history="1">
        <w:r w:rsidRPr="00E57077">
          <w:rPr>
            <w:rStyle w:val="Hyperlink"/>
            <w:rFonts w:ascii="Arial" w:hAnsi="Arial"/>
            <w:color w:val="0070C0"/>
            <w:sz w:val="28"/>
            <w:szCs w:val="28"/>
          </w:rPr>
          <w:t>Inclusion-tool-Jan-2019-3.pdf (learningdisabilityservice-leeds.nhs.uk)</w:t>
        </w:r>
      </w:hyperlink>
      <w:r w:rsidRPr="00E57077">
        <w:rPr>
          <w:rFonts w:ascii="Arial" w:hAnsi="Arial"/>
          <w:color w:val="0070C0"/>
          <w:sz w:val="28"/>
          <w:szCs w:val="28"/>
        </w:rPr>
        <w:t xml:space="preserve"> </w:t>
      </w:r>
    </w:p>
    <w:p w:rsidR="00013855" w:rsidRPr="00E57077" w:rsidRDefault="00013855" w:rsidP="003D3BAD">
      <w:pPr>
        <w:rPr>
          <w:rFonts w:ascii="Arial" w:hAnsi="Arial"/>
          <w:color w:val="0070C0"/>
          <w:sz w:val="28"/>
          <w:szCs w:val="28"/>
          <w:u w:val="single"/>
        </w:rPr>
      </w:pPr>
      <w:r w:rsidRPr="00E57077">
        <w:rPr>
          <w:rFonts w:ascii="Arial" w:hAnsi="Arial"/>
          <w:sz w:val="28"/>
          <w:szCs w:val="28"/>
        </w:rPr>
        <w:t>A</w:t>
      </w:r>
      <w:r w:rsidR="001A6563" w:rsidRPr="00E57077">
        <w:rPr>
          <w:rFonts w:ascii="Arial" w:hAnsi="Arial"/>
          <w:sz w:val="28"/>
          <w:szCs w:val="28"/>
        </w:rPr>
        <w:t xml:space="preserve">ppendix </w:t>
      </w:r>
      <w:r w:rsidR="003D3BAD" w:rsidRPr="00E57077">
        <w:rPr>
          <w:rFonts w:ascii="Arial" w:hAnsi="Arial"/>
          <w:sz w:val="28"/>
          <w:szCs w:val="28"/>
        </w:rPr>
        <w:t xml:space="preserve">4 of </w:t>
      </w:r>
      <w:hyperlink r:id="rId7" w:history="1">
        <w:r w:rsidR="003D3BAD" w:rsidRPr="00E57077">
          <w:rPr>
            <w:rStyle w:val="Hyperlink"/>
            <w:rFonts w:ascii="Arial" w:hAnsi="Arial"/>
            <w:color w:val="0070C0"/>
            <w:sz w:val="28"/>
            <w:szCs w:val="28"/>
          </w:rPr>
          <w:t xml:space="preserve">NHS England » </w:t>
        </w:r>
        <w:proofErr w:type="gramStart"/>
        <w:r w:rsidR="003D3BAD" w:rsidRPr="00E57077">
          <w:rPr>
            <w:rStyle w:val="Hyperlink"/>
            <w:rFonts w:ascii="Arial" w:hAnsi="Arial"/>
            <w:color w:val="0070C0"/>
            <w:sz w:val="28"/>
            <w:szCs w:val="28"/>
          </w:rPr>
          <w:t>Improving</w:t>
        </w:r>
        <w:proofErr w:type="gramEnd"/>
        <w:r w:rsidR="003D3BAD" w:rsidRPr="00E57077">
          <w:rPr>
            <w:rStyle w:val="Hyperlink"/>
            <w:rFonts w:ascii="Arial" w:hAnsi="Arial"/>
            <w:color w:val="0070C0"/>
            <w:sz w:val="28"/>
            <w:szCs w:val="28"/>
          </w:rPr>
          <w:t xml:space="preserve"> identification of people with a learning disability: guidance for general practice</w:t>
        </w:r>
      </w:hyperlink>
    </w:p>
    <w:p w:rsidR="001A6563" w:rsidRPr="00E57077" w:rsidRDefault="001A6563" w:rsidP="001A6563">
      <w:pPr>
        <w:spacing w:after="0"/>
        <w:rPr>
          <w:rFonts w:ascii="Arial" w:hAnsi="Arial"/>
          <w:sz w:val="28"/>
          <w:szCs w:val="28"/>
        </w:rPr>
      </w:pPr>
    </w:p>
    <w:p w:rsidR="001A6563" w:rsidRPr="00E57077" w:rsidRDefault="001A6563" w:rsidP="001A6563">
      <w:pPr>
        <w:spacing w:after="0"/>
        <w:rPr>
          <w:rFonts w:ascii="Arial" w:hAnsi="Arial"/>
          <w:b/>
          <w:bCs/>
          <w:sz w:val="28"/>
          <w:szCs w:val="28"/>
          <w:u w:val="single"/>
        </w:rPr>
      </w:pPr>
      <w:proofErr w:type="gramStart"/>
      <w:r w:rsidRPr="00E57077">
        <w:rPr>
          <w:rFonts w:ascii="Arial" w:hAnsi="Arial"/>
          <w:b/>
          <w:bCs/>
          <w:sz w:val="28"/>
          <w:szCs w:val="28"/>
          <w:u w:val="single"/>
        </w:rPr>
        <w:t>Learning disability or learning difficulties?</w:t>
      </w:r>
      <w:proofErr w:type="gramEnd"/>
    </w:p>
    <w:p w:rsidR="001A6563" w:rsidRPr="00E57077" w:rsidRDefault="001A6563" w:rsidP="00131569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b/>
          <w:bCs/>
          <w:sz w:val="28"/>
          <w:szCs w:val="28"/>
        </w:rPr>
        <w:t>Learning disability</w:t>
      </w:r>
      <w:r w:rsidRPr="00E57077">
        <w:rPr>
          <w:rFonts w:ascii="Arial" w:hAnsi="Arial"/>
          <w:sz w:val="28"/>
          <w:szCs w:val="28"/>
        </w:rPr>
        <w:t xml:space="preserve"> is a reduced intellectual ability and difficulty with everyday activities starting in childhood. It significant reduced ability to understand new or complex information, to learn new skills and a reduced ability to cope independently. </w:t>
      </w:r>
    </w:p>
    <w:p w:rsidR="001A6563" w:rsidRPr="00E57077" w:rsidRDefault="001A6563" w:rsidP="00131569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b/>
          <w:bCs/>
          <w:sz w:val="28"/>
          <w:szCs w:val="28"/>
        </w:rPr>
        <w:t>Learning difficulties</w:t>
      </w:r>
      <w:r w:rsidRPr="00E57077">
        <w:rPr>
          <w:rFonts w:ascii="Arial" w:hAnsi="Arial"/>
          <w:sz w:val="28"/>
          <w:szCs w:val="28"/>
        </w:rPr>
        <w:t xml:space="preserve"> do not affect general intellect. They exist on a spectrum. They can co-exist with a learning disability. Examples </w:t>
      </w:r>
      <w:r w:rsidR="00013855" w:rsidRPr="00E57077">
        <w:rPr>
          <w:rFonts w:ascii="Arial" w:hAnsi="Arial"/>
          <w:sz w:val="28"/>
          <w:szCs w:val="28"/>
        </w:rPr>
        <w:t>are</w:t>
      </w:r>
      <w:r w:rsidRPr="00E57077">
        <w:rPr>
          <w:rFonts w:ascii="Arial" w:hAnsi="Arial"/>
          <w:sz w:val="28"/>
          <w:szCs w:val="28"/>
        </w:rPr>
        <w:t xml:space="preserve"> dyslexia, attention deficit-hyperactivity disorder (ADHD), dyspraxia and dyscalculia</w:t>
      </w:r>
    </w:p>
    <w:p w:rsidR="001A6563" w:rsidRPr="00E57077" w:rsidRDefault="001A6563" w:rsidP="001A6563">
      <w:pPr>
        <w:spacing w:after="0"/>
        <w:rPr>
          <w:rFonts w:ascii="Arial" w:hAnsi="Arial"/>
          <w:sz w:val="28"/>
          <w:szCs w:val="28"/>
        </w:rPr>
      </w:pPr>
    </w:p>
    <w:p w:rsidR="001A6563" w:rsidRPr="00E57077" w:rsidRDefault="001A6563" w:rsidP="001A6563">
      <w:pPr>
        <w:spacing w:after="0"/>
        <w:rPr>
          <w:rFonts w:ascii="Arial" w:hAnsi="Arial"/>
          <w:b/>
          <w:bCs/>
          <w:sz w:val="28"/>
          <w:szCs w:val="28"/>
          <w:u w:val="single"/>
        </w:rPr>
      </w:pPr>
      <w:r w:rsidRPr="00E57077">
        <w:rPr>
          <w:rFonts w:ascii="Arial" w:hAnsi="Arial"/>
          <w:b/>
          <w:bCs/>
          <w:sz w:val="28"/>
          <w:szCs w:val="28"/>
          <w:u w:val="single"/>
        </w:rPr>
        <w:t>Access to community learning disability services:</w:t>
      </w:r>
    </w:p>
    <w:p w:rsidR="001A6563" w:rsidRPr="00E57077" w:rsidRDefault="001A6563" w:rsidP="001A6563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 xml:space="preserve">Being included on the register will not automatically allow access to community learning difficulties services, access to the services </w:t>
      </w:r>
      <w:r w:rsidR="00013855" w:rsidRPr="00E57077">
        <w:rPr>
          <w:rFonts w:ascii="Arial" w:hAnsi="Arial"/>
          <w:sz w:val="28"/>
          <w:szCs w:val="28"/>
        </w:rPr>
        <w:t>is need</w:t>
      </w:r>
      <w:r w:rsidRPr="00E57077">
        <w:rPr>
          <w:rFonts w:ascii="Arial" w:hAnsi="Arial"/>
          <w:sz w:val="28"/>
          <w:szCs w:val="28"/>
        </w:rPr>
        <w:t xml:space="preserve"> dependent and the CLDT will assess this with every referral.</w:t>
      </w:r>
    </w:p>
    <w:p w:rsidR="001A6563" w:rsidRPr="00E57077" w:rsidRDefault="001A6563" w:rsidP="001A6563">
      <w:pPr>
        <w:spacing w:after="0"/>
        <w:rPr>
          <w:rFonts w:ascii="Arial" w:hAnsi="Arial"/>
          <w:sz w:val="28"/>
          <w:szCs w:val="28"/>
        </w:rPr>
      </w:pPr>
    </w:p>
    <w:p w:rsidR="00C15316" w:rsidRPr="00E57077" w:rsidRDefault="00C15316" w:rsidP="001A6563">
      <w:pPr>
        <w:spacing w:after="0"/>
        <w:rPr>
          <w:rFonts w:ascii="Arial" w:hAnsi="Arial"/>
          <w:sz w:val="28"/>
          <w:szCs w:val="28"/>
        </w:rPr>
      </w:pPr>
    </w:p>
    <w:p w:rsidR="001A6563" w:rsidRPr="00E57077" w:rsidRDefault="00CF6C6D" w:rsidP="001A6563">
      <w:pPr>
        <w:spacing w:after="0"/>
        <w:rPr>
          <w:rFonts w:ascii="Arial" w:hAnsi="Arial"/>
          <w:b/>
          <w:bCs/>
          <w:sz w:val="28"/>
          <w:szCs w:val="28"/>
          <w:u w:val="single"/>
        </w:rPr>
      </w:pPr>
      <w:r w:rsidRPr="00E57077">
        <w:rPr>
          <w:rFonts w:ascii="Arial" w:hAnsi="Arial"/>
          <w:b/>
          <w:bCs/>
          <w:sz w:val="28"/>
          <w:szCs w:val="28"/>
          <w:u w:val="single"/>
        </w:rPr>
        <w:t>How to improve you</w:t>
      </w:r>
      <w:r w:rsidR="00E57077">
        <w:rPr>
          <w:rFonts w:ascii="Arial" w:hAnsi="Arial"/>
          <w:b/>
          <w:bCs/>
          <w:sz w:val="28"/>
          <w:szCs w:val="28"/>
          <w:u w:val="single"/>
        </w:rPr>
        <w:t>r</w:t>
      </w:r>
      <w:r w:rsidRPr="00E57077">
        <w:rPr>
          <w:rFonts w:ascii="Arial" w:hAnsi="Arial"/>
          <w:b/>
          <w:bCs/>
          <w:sz w:val="28"/>
          <w:szCs w:val="28"/>
          <w:u w:val="single"/>
        </w:rPr>
        <w:t xml:space="preserve"> register</w:t>
      </w:r>
    </w:p>
    <w:p w:rsidR="003D3BAD" w:rsidRPr="00E57077" w:rsidRDefault="00CF6C6D" w:rsidP="003D3BAD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 xml:space="preserve">There is a list of codes in appendix 2 </w:t>
      </w:r>
      <w:r w:rsidR="003D3BAD" w:rsidRPr="00E57077">
        <w:rPr>
          <w:rFonts w:ascii="Arial" w:hAnsi="Arial"/>
          <w:sz w:val="28"/>
          <w:szCs w:val="28"/>
        </w:rPr>
        <w:t xml:space="preserve">of </w:t>
      </w:r>
      <w:hyperlink r:id="rId8" w:history="1">
        <w:r w:rsidR="003D3BAD" w:rsidRPr="00E57077">
          <w:rPr>
            <w:rStyle w:val="Hyperlink"/>
            <w:rFonts w:ascii="Arial" w:hAnsi="Arial"/>
            <w:sz w:val="28"/>
            <w:szCs w:val="28"/>
          </w:rPr>
          <w:t xml:space="preserve">NHS England » </w:t>
        </w:r>
        <w:proofErr w:type="gramStart"/>
        <w:r w:rsidR="003D3BAD" w:rsidRPr="00E57077">
          <w:rPr>
            <w:rStyle w:val="Hyperlink"/>
            <w:rFonts w:ascii="Arial" w:hAnsi="Arial"/>
            <w:sz w:val="28"/>
            <w:szCs w:val="28"/>
          </w:rPr>
          <w:t>Improving</w:t>
        </w:r>
        <w:proofErr w:type="gramEnd"/>
        <w:r w:rsidR="003D3BAD" w:rsidRPr="00E57077">
          <w:rPr>
            <w:rStyle w:val="Hyperlink"/>
            <w:rFonts w:ascii="Arial" w:hAnsi="Arial"/>
            <w:sz w:val="28"/>
            <w:szCs w:val="28"/>
          </w:rPr>
          <w:t xml:space="preserve"> identification of people with a learning disability: guidance for general practice</w:t>
        </w:r>
      </w:hyperlink>
    </w:p>
    <w:p w:rsidR="00CF6C6D" w:rsidRPr="00E57077" w:rsidRDefault="003D3BAD" w:rsidP="001A6563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>These codes</w:t>
      </w:r>
      <w:r w:rsidR="00CF6C6D" w:rsidRPr="00E57077">
        <w:rPr>
          <w:rFonts w:ascii="Arial" w:hAnsi="Arial"/>
          <w:sz w:val="28"/>
          <w:szCs w:val="28"/>
        </w:rPr>
        <w:t xml:space="preserve"> might suggest the patient has a learning disability.</w:t>
      </w:r>
    </w:p>
    <w:p w:rsidR="00CF6C6D" w:rsidRPr="00E57077" w:rsidRDefault="00CF6C6D" w:rsidP="00CF6C6D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 xml:space="preserve">Run and </w:t>
      </w:r>
      <w:proofErr w:type="spellStart"/>
      <w:r w:rsidRPr="00E57077">
        <w:rPr>
          <w:rFonts w:ascii="Arial" w:hAnsi="Arial"/>
          <w:sz w:val="28"/>
          <w:szCs w:val="28"/>
        </w:rPr>
        <w:t>emis</w:t>
      </w:r>
      <w:proofErr w:type="spellEnd"/>
      <w:r w:rsidRPr="00E57077">
        <w:rPr>
          <w:rFonts w:ascii="Arial" w:hAnsi="Arial"/>
          <w:sz w:val="28"/>
          <w:szCs w:val="28"/>
        </w:rPr>
        <w:t xml:space="preserve"> search with these codes and create a list of your practice population who might have </w:t>
      </w:r>
      <w:r w:rsidR="00131569" w:rsidRPr="00E57077">
        <w:rPr>
          <w:rFonts w:ascii="Arial" w:hAnsi="Arial"/>
          <w:sz w:val="28"/>
          <w:szCs w:val="28"/>
        </w:rPr>
        <w:t xml:space="preserve">a </w:t>
      </w:r>
      <w:r w:rsidRPr="00E57077">
        <w:rPr>
          <w:rFonts w:ascii="Arial" w:hAnsi="Arial"/>
          <w:sz w:val="28"/>
          <w:szCs w:val="28"/>
        </w:rPr>
        <w:t>learning disability.</w:t>
      </w:r>
    </w:p>
    <w:p w:rsidR="00CF6C6D" w:rsidRPr="00E57077" w:rsidRDefault="00CF6C6D" w:rsidP="00CF6C6D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 xml:space="preserve">Review the patient’s notes to see if they would benefit from being added to the register. </w:t>
      </w:r>
    </w:p>
    <w:p w:rsidR="00CF6C6D" w:rsidRPr="00E57077" w:rsidRDefault="00CF6C6D" w:rsidP="00CF6C6D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>You might need to contact some patients to assess their eligibility using the learning disability inclu</w:t>
      </w:r>
      <w:r w:rsidR="00013855" w:rsidRPr="00E57077">
        <w:rPr>
          <w:rFonts w:ascii="Arial" w:hAnsi="Arial"/>
          <w:sz w:val="28"/>
          <w:szCs w:val="28"/>
        </w:rPr>
        <w:t>sion tool above</w:t>
      </w:r>
      <w:r w:rsidRPr="00E57077">
        <w:rPr>
          <w:rFonts w:ascii="Arial" w:hAnsi="Arial"/>
          <w:sz w:val="28"/>
          <w:szCs w:val="28"/>
        </w:rPr>
        <w:t>. This can normally be done over the phone.</w:t>
      </w:r>
    </w:p>
    <w:p w:rsidR="00CF6C6D" w:rsidRPr="00E57077" w:rsidRDefault="00131569" w:rsidP="00CF6C6D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>To include the patient to your register</w:t>
      </w:r>
      <w:r w:rsidR="00CF6C6D" w:rsidRPr="00E57077">
        <w:rPr>
          <w:rFonts w:ascii="Arial" w:hAnsi="Arial"/>
          <w:sz w:val="28"/>
          <w:szCs w:val="28"/>
        </w:rPr>
        <w:t xml:space="preserve"> the code: </w:t>
      </w:r>
      <w:r w:rsidR="00CF6C6D" w:rsidRPr="00E57077">
        <w:rPr>
          <w:rFonts w:ascii="Arial" w:hAnsi="Arial"/>
          <w:b/>
          <w:bCs/>
          <w:color w:val="2E74B5" w:themeColor="accent5" w:themeShade="BF"/>
          <w:sz w:val="28"/>
          <w:szCs w:val="28"/>
        </w:rPr>
        <w:t>SNOMED CT code 416075005 “On learning disability register”</w:t>
      </w:r>
    </w:p>
    <w:p w:rsidR="00CF6C6D" w:rsidRPr="00E57077" w:rsidRDefault="00CF6C6D" w:rsidP="00CF6C6D">
      <w:pPr>
        <w:spacing w:after="0"/>
        <w:rPr>
          <w:rFonts w:ascii="Arial" w:hAnsi="Arial"/>
          <w:b/>
          <w:bCs/>
          <w:color w:val="2E74B5" w:themeColor="accent5" w:themeShade="BF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 xml:space="preserve">If the patient does not have learning disability you can add the code </w:t>
      </w:r>
      <w:r w:rsidRPr="00E57077">
        <w:rPr>
          <w:rFonts w:ascii="Arial" w:hAnsi="Arial"/>
          <w:b/>
          <w:bCs/>
          <w:color w:val="2E74B5" w:themeColor="accent5" w:themeShade="BF"/>
          <w:sz w:val="28"/>
          <w:szCs w:val="28"/>
        </w:rPr>
        <w:t xml:space="preserve">SNOMED CT code “Learning disability excluded” </w:t>
      </w:r>
    </w:p>
    <w:p w:rsidR="00013855" w:rsidRPr="00E57077" w:rsidRDefault="00013855" w:rsidP="00CF6C6D">
      <w:pPr>
        <w:spacing w:after="0"/>
        <w:rPr>
          <w:rFonts w:ascii="Arial" w:hAnsi="Arial"/>
          <w:sz w:val="28"/>
          <w:szCs w:val="28"/>
        </w:rPr>
      </w:pPr>
    </w:p>
    <w:p w:rsidR="00CF6C6D" w:rsidRPr="00E57077" w:rsidRDefault="00CF6C6D" w:rsidP="001A6563">
      <w:pPr>
        <w:spacing w:after="0"/>
        <w:rPr>
          <w:rFonts w:ascii="Arial" w:hAnsi="Arial"/>
          <w:sz w:val="28"/>
          <w:szCs w:val="28"/>
        </w:rPr>
      </w:pPr>
    </w:p>
    <w:p w:rsidR="00CF6C6D" w:rsidRPr="00E57077" w:rsidRDefault="00BF6859" w:rsidP="001A6563">
      <w:pPr>
        <w:spacing w:after="0"/>
        <w:rPr>
          <w:rFonts w:ascii="Arial" w:hAnsi="Arial"/>
          <w:b/>
          <w:bCs/>
          <w:sz w:val="28"/>
          <w:szCs w:val="28"/>
        </w:rPr>
      </w:pPr>
      <w:r w:rsidRPr="00E57077">
        <w:rPr>
          <w:rFonts w:ascii="Arial" w:hAnsi="Arial"/>
          <w:b/>
          <w:bCs/>
          <w:sz w:val="28"/>
          <w:szCs w:val="28"/>
        </w:rPr>
        <w:t>Patient information leaflets- easy read</w:t>
      </w:r>
    </w:p>
    <w:p w:rsidR="001A6563" w:rsidRPr="00E57077" w:rsidRDefault="009B00A8" w:rsidP="001A6563">
      <w:pPr>
        <w:spacing w:after="0"/>
        <w:rPr>
          <w:rFonts w:ascii="Arial" w:hAnsi="Arial"/>
          <w:sz w:val="28"/>
          <w:szCs w:val="28"/>
        </w:rPr>
      </w:pPr>
      <w:r w:rsidRPr="00E57077">
        <w:rPr>
          <w:rFonts w:ascii="Arial" w:hAnsi="Arial"/>
          <w:sz w:val="28"/>
          <w:szCs w:val="28"/>
        </w:rPr>
        <w:t>We have created</w:t>
      </w:r>
      <w:r w:rsidR="00BF6859" w:rsidRPr="00E57077">
        <w:rPr>
          <w:rFonts w:ascii="Arial" w:hAnsi="Arial"/>
          <w:sz w:val="28"/>
          <w:szCs w:val="28"/>
        </w:rPr>
        <w:t xml:space="preserve"> an easy read leaflet you can send to a patient you have included on your learning disability register</w:t>
      </w:r>
      <w:r w:rsidR="003D3BAD" w:rsidRPr="00E57077">
        <w:rPr>
          <w:rFonts w:ascii="Arial" w:hAnsi="Arial"/>
          <w:sz w:val="28"/>
          <w:szCs w:val="28"/>
        </w:rPr>
        <w:t xml:space="preserve"> and one specifically for</w:t>
      </w:r>
      <w:r w:rsidR="00BF6859" w:rsidRPr="00E57077">
        <w:rPr>
          <w:rFonts w:ascii="Arial" w:hAnsi="Arial"/>
          <w:sz w:val="28"/>
          <w:szCs w:val="28"/>
        </w:rPr>
        <w:t xml:space="preserve"> children and young people</w:t>
      </w:r>
      <w:r w:rsidR="003D3BAD" w:rsidRPr="00E57077">
        <w:rPr>
          <w:rFonts w:ascii="Arial" w:hAnsi="Arial"/>
          <w:sz w:val="28"/>
          <w:szCs w:val="28"/>
        </w:rPr>
        <w:t>.</w:t>
      </w:r>
      <w:r w:rsidRPr="00E57077">
        <w:rPr>
          <w:rFonts w:ascii="Arial" w:hAnsi="Arial"/>
          <w:sz w:val="28"/>
          <w:szCs w:val="28"/>
        </w:rPr>
        <w:t xml:space="preserve"> Both will be added to Remedy and have been circulated with the March learning disability newsletter.</w:t>
      </w:r>
    </w:p>
    <w:sectPr w:rsidR="001A6563" w:rsidRPr="00E57077" w:rsidSect="00E5707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CD7"/>
    <w:multiLevelType w:val="hybridMultilevel"/>
    <w:tmpl w:val="D26274F6"/>
    <w:lvl w:ilvl="0" w:tplc="7A268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2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E3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4B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48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85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8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E3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E6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F082EDF"/>
    <w:multiLevelType w:val="hybridMultilevel"/>
    <w:tmpl w:val="C29C69E6"/>
    <w:lvl w:ilvl="0" w:tplc="09C8A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0A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E6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C2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E7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84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E8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22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0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compat/>
  <w:rsids>
    <w:rsidRoot w:val="001A6563"/>
    <w:rsid w:val="00013855"/>
    <w:rsid w:val="00131569"/>
    <w:rsid w:val="00186724"/>
    <w:rsid w:val="001A6563"/>
    <w:rsid w:val="002E5542"/>
    <w:rsid w:val="003D3BAD"/>
    <w:rsid w:val="00980A1C"/>
    <w:rsid w:val="009B00A8"/>
    <w:rsid w:val="00BF6859"/>
    <w:rsid w:val="00C15316"/>
    <w:rsid w:val="00CF4FB6"/>
    <w:rsid w:val="00CF6C6D"/>
    <w:rsid w:val="00E57077"/>
    <w:rsid w:val="00F85952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5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6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D3BA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7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ngland.nhs.uk/publication/improving-identification-of-people-with-a-learning-disability-guidance-for-general-practice/" TargetMode="External"/><Relationship Id="rId6" Type="http://schemas.openxmlformats.org/officeDocument/2006/relationships/hyperlink" Target="https://www.learningdisabilityservice-leeds.nhs.uk/wp-content/uploads/2020/07/Inclusion-tool-Jan-2019-3.pdf" TargetMode="External"/><Relationship Id="rId7" Type="http://schemas.openxmlformats.org/officeDocument/2006/relationships/hyperlink" Target="https://www.england.nhs.uk/publication/improving-identification-of-people-with-a-learning-disability-guidance-for-general-practice/" TargetMode="External"/><Relationship Id="rId8" Type="http://schemas.openxmlformats.org/officeDocument/2006/relationships/hyperlink" Target="https://www.england.nhs.uk/publication/improving-identification-of-people-with-a-learning-disability-guidance-for-general-practic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3014</Characters>
  <Application>Microsoft Macintosh Word</Application>
  <DocSecurity>0</DocSecurity>
  <Lines>64</Lines>
  <Paragraphs>24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MATTHIES, Juliane (ORCHARD MEDICAL CENTRE - L81055)</dc:creator>
  <cp:keywords/>
  <dc:description/>
  <cp:lastModifiedBy>Lesley Le-Pine</cp:lastModifiedBy>
  <cp:revision>2</cp:revision>
  <dcterms:created xsi:type="dcterms:W3CDTF">2022-03-02T10:50:00Z</dcterms:created>
  <dcterms:modified xsi:type="dcterms:W3CDTF">2022-03-02T10:50:00Z</dcterms:modified>
</cp:coreProperties>
</file>