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9E1FD" w14:textId="77777777" w:rsidR="004E0889" w:rsidRPr="00BA14F9" w:rsidRDefault="00A72DAE" w:rsidP="009E7EBA">
      <w:pPr>
        <w:jc w:val="center"/>
        <w:rPr>
          <w:rFonts w:cstheme="minorHAnsi"/>
          <w:b/>
          <w:u w:val="single"/>
        </w:rPr>
      </w:pPr>
      <w:r w:rsidRPr="00BA14F9">
        <w:rPr>
          <w:rFonts w:cstheme="minorHAnsi"/>
          <w:b/>
          <w:u w:val="single"/>
        </w:rPr>
        <w:t xml:space="preserve">BNSSG </w:t>
      </w:r>
      <w:r w:rsidR="00300F3E" w:rsidRPr="00BA14F9">
        <w:rPr>
          <w:rFonts w:cstheme="minorHAnsi"/>
          <w:b/>
          <w:u w:val="single"/>
        </w:rPr>
        <w:t>W</w:t>
      </w:r>
      <w:r w:rsidR="00726AC4">
        <w:rPr>
          <w:rFonts w:cstheme="minorHAnsi"/>
          <w:b/>
          <w:u w:val="single"/>
        </w:rPr>
        <w:t>e</w:t>
      </w:r>
      <w:r w:rsidR="00300F3E" w:rsidRPr="00BA14F9">
        <w:rPr>
          <w:rFonts w:cstheme="minorHAnsi"/>
          <w:b/>
          <w:u w:val="single"/>
        </w:rPr>
        <w:t xml:space="preserve">ight Assessment and </w:t>
      </w:r>
      <w:r w:rsidR="00BA14F9" w:rsidRPr="00BA14F9">
        <w:rPr>
          <w:rFonts w:cstheme="minorHAnsi"/>
          <w:b/>
          <w:u w:val="single"/>
        </w:rPr>
        <w:t>Management</w:t>
      </w:r>
      <w:r w:rsidR="00300F3E" w:rsidRPr="00BA14F9">
        <w:rPr>
          <w:rFonts w:cstheme="minorHAnsi"/>
          <w:b/>
          <w:u w:val="single"/>
        </w:rPr>
        <w:t xml:space="preserve"> Service (WAMS) </w:t>
      </w:r>
      <w:r w:rsidR="005501F3" w:rsidRPr="00BA14F9">
        <w:rPr>
          <w:rFonts w:cstheme="minorHAnsi"/>
          <w:b/>
          <w:u w:val="single"/>
        </w:rPr>
        <w:t xml:space="preserve"> - </w:t>
      </w:r>
      <w:r w:rsidRPr="00BA14F9">
        <w:rPr>
          <w:rFonts w:cstheme="minorHAnsi"/>
          <w:b/>
          <w:u w:val="single"/>
        </w:rPr>
        <w:t>I</w:t>
      </w:r>
      <w:r w:rsidR="000F3187" w:rsidRPr="00BA14F9">
        <w:rPr>
          <w:rFonts w:cstheme="minorHAnsi"/>
          <w:b/>
          <w:u w:val="single"/>
        </w:rPr>
        <w:t>nfo</w:t>
      </w:r>
      <w:r w:rsidRPr="00BA14F9">
        <w:rPr>
          <w:rFonts w:cstheme="minorHAnsi"/>
          <w:b/>
          <w:u w:val="single"/>
        </w:rPr>
        <w:t>rmation for GPs</w:t>
      </w:r>
    </w:p>
    <w:p w14:paraId="6F4F8491" w14:textId="6705E48E" w:rsidR="00525482" w:rsidRPr="00BA14F9" w:rsidRDefault="00300F3E" w:rsidP="00BA14F9">
      <w:pPr>
        <w:spacing w:line="360" w:lineRule="auto"/>
        <w:rPr>
          <w:rFonts w:eastAsia="Times New Roman" w:cstheme="minorHAnsi"/>
          <w:lang w:eastAsia="en-GB"/>
        </w:rPr>
      </w:pPr>
      <w:r w:rsidRPr="00BA14F9">
        <w:rPr>
          <w:rFonts w:cstheme="minorHAnsi"/>
        </w:rPr>
        <w:t xml:space="preserve">WAMS </w:t>
      </w:r>
      <w:r w:rsidR="005501F3" w:rsidRPr="00BA14F9">
        <w:rPr>
          <w:rFonts w:cstheme="minorHAnsi"/>
        </w:rPr>
        <w:t>is a specialist service with the goal of improving</w:t>
      </w:r>
      <w:r w:rsidR="000F3187" w:rsidRPr="00BA14F9">
        <w:rPr>
          <w:rFonts w:cstheme="minorHAnsi"/>
        </w:rPr>
        <w:t xml:space="preserve"> </w:t>
      </w:r>
      <w:r w:rsidR="00726AC4">
        <w:rPr>
          <w:rFonts w:cstheme="minorHAnsi"/>
        </w:rPr>
        <w:t xml:space="preserve">the </w:t>
      </w:r>
      <w:r w:rsidR="000F3187" w:rsidRPr="00BA14F9">
        <w:rPr>
          <w:rFonts w:cstheme="minorHAnsi"/>
        </w:rPr>
        <w:t xml:space="preserve">health and </w:t>
      </w:r>
      <w:proofErr w:type="gramStart"/>
      <w:r w:rsidR="000F3187" w:rsidRPr="00BA14F9">
        <w:rPr>
          <w:rFonts w:cstheme="minorHAnsi"/>
        </w:rPr>
        <w:t>well-being</w:t>
      </w:r>
      <w:proofErr w:type="gramEnd"/>
      <w:r w:rsidR="000F3187" w:rsidRPr="00BA14F9">
        <w:rPr>
          <w:rFonts w:cstheme="minorHAnsi"/>
        </w:rPr>
        <w:t xml:space="preserve"> of morbidly obese adults </w:t>
      </w:r>
      <w:r w:rsidR="00525482" w:rsidRPr="00BA14F9">
        <w:rPr>
          <w:rFonts w:cstheme="minorHAnsi"/>
        </w:rPr>
        <w:t>through promoting life-long behaviour change</w:t>
      </w:r>
      <w:r w:rsidR="000F3187" w:rsidRPr="00BA14F9">
        <w:rPr>
          <w:rFonts w:cstheme="minorHAnsi"/>
        </w:rPr>
        <w:t xml:space="preserve">. </w:t>
      </w:r>
      <w:r w:rsidR="002F500C" w:rsidRPr="00BA14F9">
        <w:rPr>
          <w:rFonts w:cstheme="minorHAnsi"/>
        </w:rPr>
        <w:t xml:space="preserve">It is not simply an assessment for bariatric surgery and those referred for consideration of surgery should understand that </w:t>
      </w:r>
      <w:r w:rsidR="00A261A4">
        <w:rPr>
          <w:rFonts w:cstheme="minorHAnsi"/>
        </w:rPr>
        <w:t xml:space="preserve">in </w:t>
      </w:r>
      <w:r w:rsidR="002F500C" w:rsidRPr="00BA14F9">
        <w:rPr>
          <w:rFonts w:cstheme="minorHAnsi"/>
        </w:rPr>
        <w:t xml:space="preserve">most </w:t>
      </w:r>
      <w:r w:rsidR="00A261A4">
        <w:rPr>
          <w:rFonts w:cstheme="minorHAnsi"/>
        </w:rPr>
        <w:t xml:space="preserve">cases this will not be appropriate without some preparation, focussing on regulating eating, portion sizes and </w:t>
      </w:r>
      <w:r w:rsidR="00FF08F0">
        <w:rPr>
          <w:rFonts w:cstheme="minorHAnsi"/>
        </w:rPr>
        <w:t xml:space="preserve">emotional regulation. Generally this takes 6-12 </w:t>
      </w:r>
      <w:r w:rsidR="00D6161F">
        <w:rPr>
          <w:rFonts w:cstheme="minorHAnsi"/>
        </w:rPr>
        <w:t xml:space="preserve">months </w:t>
      </w:r>
      <w:r w:rsidR="002F500C" w:rsidRPr="00BA14F9">
        <w:rPr>
          <w:rFonts w:cstheme="minorHAnsi"/>
        </w:rPr>
        <w:t xml:space="preserve">in </w:t>
      </w:r>
      <w:r w:rsidR="00995011">
        <w:rPr>
          <w:rFonts w:cstheme="minorHAnsi"/>
        </w:rPr>
        <w:t>WAMS.</w:t>
      </w:r>
    </w:p>
    <w:p w14:paraId="589DB0FA" w14:textId="77777777" w:rsidR="00F14862" w:rsidRPr="00726AC4" w:rsidRDefault="00F14862" w:rsidP="00BA14F9">
      <w:pPr>
        <w:spacing w:line="360" w:lineRule="auto"/>
        <w:rPr>
          <w:rFonts w:cstheme="minorHAnsi"/>
          <w:b/>
        </w:rPr>
      </w:pPr>
      <w:r w:rsidRPr="00726AC4">
        <w:rPr>
          <w:rFonts w:cstheme="minorHAnsi"/>
          <w:b/>
        </w:rPr>
        <w:t>Aims</w:t>
      </w:r>
    </w:p>
    <w:p w14:paraId="349B3BDD" w14:textId="017D6779" w:rsidR="00F14862" w:rsidRPr="00BA14F9" w:rsidRDefault="00525482" w:rsidP="00BA14F9">
      <w:pPr>
        <w:pStyle w:val="ListParagraph"/>
        <w:numPr>
          <w:ilvl w:val="0"/>
          <w:numId w:val="4"/>
        </w:numPr>
        <w:spacing w:line="360" w:lineRule="auto"/>
        <w:rPr>
          <w:rFonts w:cstheme="minorHAnsi"/>
        </w:rPr>
      </w:pPr>
      <w:r w:rsidRPr="00BA14F9">
        <w:rPr>
          <w:rFonts w:cstheme="minorHAnsi"/>
        </w:rPr>
        <w:t>To a</w:t>
      </w:r>
      <w:r w:rsidR="00F14862" w:rsidRPr="00BA14F9">
        <w:rPr>
          <w:rFonts w:cstheme="minorHAnsi"/>
        </w:rPr>
        <w:t>chieve clinically significant weight loss w</w:t>
      </w:r>
      <w:r w:rsidR="00995011">
        <w:rPr>
          <w:rFonts w:cstheme="minorHAnsi"/>
        </w:rPr>
        <w:t>ith safe and sustainable means (</w:t>
      </w:r>
      <w:r w:rsidR="00300F3E" w:rsidRPr="00BA14F9">
        <w:rPr>
          <w:rFonts w:cstheme="minorHAnsi"/>
        </w:rPr>
        <w:t>ideally 5-10%</w:t>
      </w:r>
      <w:r w:rsidR="00995011">
        <w:rPr>
          <w:rFonts w:cstheme="minorHAnsi"/>
        </w:rPr>
        <w:t>)</w:t>
      </w:r>
    </w:p>
    <w:p w14:paraId="42546D58" w14:textId="77777777" w:rsidR="00525482" w:rsidRPr="00BA14F9" w:rsidRDefault="00525482" w:rsidP="00BA14F9">
      <w:pPr>
        <w:pStyle w:val="ListParagraph"/>
        <w:numPr>
          <w:ilvl w:val="0"/>
          <w:numId w:val="4"/>
        </w:numPr>
        <w:spacing w:line="360" w:lineRule="auto"/>
        <w:rPr>
          <w:rFonts w:cstheme="minorHAnsi"/>
        </w:rPr>
      </w:pPr>
      <w:r w:rsidRPr="00BA14F9">
        <w:rPr>
          <w:rFonts w:cstheme="minorHAnsi"/>
        </w:rPr>
        <w:t>To encourage long term behaviour change through promoting healthy eating, physical activity and recognising the psychological barriers to un</w:t>
      </w:r>
      <w:r w:rsidR="00D6161F">
        <w:rPr>
          <w:rFonts w:cstheme="minorHAnsi"/>
        </w:rPr>
        <w:t>healthy relationships with food</w:t>
      </w:r>
    </w:p>
    <w:p w14:paraId="3BF39D90" w14:textId="3622C818" w:rsidR="00364C38" w:rsidRPr="00BA14F9" w:rsidRDefault="00525482" w:rsidP="00BA14F9">
      <w:pPr>
        <w:pStyle w:val="ListParagraph"/>
        <w:numPr>
          <w:ilvl w:val="0"/>
          <w:numId w:val="4"/>
        </w:numPr>
        <w:spacing w:line="360" w:lineRule="auto"/>
        <w:rPr>
          <w:rFonts w:cstheme="minorHAnsi"/>
          <w:b/>
        </w:rPr>
      </w:pPr>
      <w:r w:rsidRPr="00BA14F9">
        <w:rPr>
          <w:rFonts w:cstheme="minorHAnsi"/>
        </w:rPr>
        <w:t>To prevent/reduce/improve the management of any</w:t>
      </w:r>
      <w:r w:rsidR="00995011">
        <w:rPr>
          <w:rFonts w:cstheme="minorHAnsi"/>
        </w:rPr>
        <w:t xml:space="preserve"> associated</w:t>
      </w:r>
      <w:r w:rsidRPr="00BA14F9">
        <w:rPr>
          <w:rFonts w:cstheme="minorHAnsi"/>
        </w:rPr>
        <w:t xml:space="preserve"> co-morbidities </w:t>
      </w:r>
    </w:p>
    <w:p w14:paraId="0BF079ED" w14:textId="77777777" w:rsidR="00472E0C" w:rsidRPr="00BA14F9" w:rsidRDefault="004C5287" w:rsidP="00BA14F9">
      <w:pPr>
        <w:pStyle w:val="ListParagraph"/>
        <w:numPr>
          <w:ilvl w:val="0"/>
          <w:numId w:val="4"/>
        </w:numPr>
        <w:spacing w:line="360" w:lineRule="auto"/>
        <w:rPr>
          <w:rFonts w:cstheme="minorHAnsi"/>
          <w:b/>
        </w:rPr>
      </w:pPr>
      <w:r w:rsidRPr="00BA14F9">
        <w:rPr>
          <w:rFonts w:cstheme="minorHAnsi"/>
        </w:rPr>
        <w:t>To i</w:t>
      </w:r>
      <w:r w:rsidR="00F14862" w:rsidRPr="00BA14F9">
        <w:rPr>
          <w:rFonts w:cstheme="minorHAnsi"/>
        </w:rPr>
        <w:t xml:space="preserve">mprove sense of </w:t>
      </w:r>
      <w:r w:rsidR="00726AC4">
        <w:rPr>
          <w:rFonts w:cstheme="minorHAnsi"/>
        </w:rPr>
        <w:t>wellbeing and quality of l</w:t>
      </w:r>
      <w:r w:rsidR="00A72DAE" w:rsidRPr="00BA14F9">
        <w:rPr>
          <w:rFonts w:cstheme="minorHAnsi"/>
        </w:rPr>
        <w:t xml:space="preserve">ife </w:t>
      </w:r>
    </w:p>
    <w:p w14:paraId="2382400F" w14:textId="77777777" w:rsidR="000F3187" w:rsidRPr="00BA14F9" w:rsidRDefault="000F3187" w:rsidP="00BA14F9">
      <w:pPr>
        <w:spacing w:line="360" w:lineRule="auto"/>
        <w:rPr>
          <w:rFonts w:cstheme="minorHAnsi"/>
          <w:b/>
        </w:rPr>
      </w:pPr>
      <w:r w:rsidRPr="00BA14F9">
        <w:rPr>
          <w:rFonts w:cstheme="minorHAnsi"/>
          <w:b/>
        </w:rPr>
        <w:t xml:space="preserve">Referral </w:t>
      </w:r>
      <w:r w:rsidR="00A72DAE" w:rsidRPr="00BA14F9">
        <w:rPr>
          <w:rFonts w:cstheme="minorHAnsi"/>
          <w:b/>
        </w:rPr>
        <w:t>Criteria</w:t>
      </w:r>
    </w:p>
    <w:p w14:paraId="56E03373" w14:textId="77777777" w:rsidR="00F14862" w:rsidRPr="00BA14F9" w:rsidRDefault="00F14862" w:rsidP="00BA14F9">
      <w:pPr>
        <w:spacing w:line="360" w:lineRule="auto"/>
        <w:rPr>
          <w:rFonts w:cstheme="minorHAnsi"/>
        </w:rPr>
      </w:pPr>
      <w:r w:rsidRPr="00BA14F9">
        <w:rPr>
          <w:rFonts w:cstheme="minorHAnsi"/>
        </w:rPr>
        <w:t>Inclusion</w:t>
      </w:r>
      <w:r w:rsidR="00472E0C" w:rsidRPr="00BA14F9">
        <w:rPr>
          <w:rFonts w:cstheme="minorHAnsi"/>
        </w:rPr>
        <w:t xml:space="preserve"> (all apply)</w:t>
      </w:r>
    </w:p>
    <w:p w14:paraId="72229EDD" w14:textId="77777777" w:rsidR="000F3187" w:rsidRPr="00BA14F9" w:rsidRDefault="000F3187" w:rsidP="00BA14F9">
      <w:pPr>
        <w:pStyle w:val="ListParagraph"/>
        <w:numPr>
          <w:ilvl w:val="0"/>
          <w:numId w:val="1"/>
        </w:numPr>
        <w:spacing w:line="360" w:lineRule="auto"/>
        <w:rPr>
          <w:rFonts w:cstheme="minorHAnsi"/>
        </w:rPr>
      </w:pPr>
      <w:r w:rsidRPr="00BA14F9">
        <w:rPr>
          <w:rFonts w:cstheme="minorHAnsi"/>
        </w:rPr>
        <w:t xml:space="preserve">Registered with </w:t>
      </w:r>
      <w:r w:rsidR="00472E0C" w:rsidRPr="00BA14F9">
        <w:rPr>
          <w:rFonts w:cstheme="minorHAnsi"/>
        </w:rPr>
        <w:t xml:space="preserve">a </w:t>
      </w:r>
      <w:r w:rsidRPr="00BA14F9">
        <w:rPr>
          <w:rFonts w:cstheme="minorHAnsi"/>
        </w:rPr>
        <w:t>BNSSG GP</w:t>
      </w:r>
    </w:p>
    <w:p w14:paraId="35356731" w14:textId="77777777" w:rsidR="000F3187" w:rsidRPr="00BA14F9" w:rsidRDefault="000F3187" w:rsidP="00BA14F9">
      <w:pPr>
        <w:pStyle w:val="ListParagraph"/>
        <w:numPr>
          <w:ilvl w:val="0"/>
          <w:numId w:val="1"/>
        </w:numPr>
        <w:spacing w:line="360" w:lineRule="auto"/>
        <w:rPr>
          <w:rFonts w:cstheme="minorHAnsi"/>
        </w:rPr>
      </w:pPr>
      <w:r w:rsidRPr="00BA14F9">
        <w:rPr>
          <w:rFonts w:cstheme="minorHAnsi"/>
        </w:rPr>
        <w:t>Aged 18 and over</w:t>
      </w:r>
    </w:p>
    <w:p w14:paraId="5CC493A6" w14:textId="77777777" w:rsidR="000F3187" w:rsidRPr="00BA14F9" w:rsidRDefault="0003711D" w:rsidP="00BA14F9">
      <w:pPr>
        <w:pStyle w:val="ListParagraph"/>
        <w:numPr>
          <w:ilvl w:val="0"/>
          <w:numId w:val="1"/>
        </w:numPr>
        <w:spacing w:line="360" w:lineRule="auto"/>
        <w:rPr>
          <w:rFonts w:cstheme="minorHAnsi"/>
        </w:rPr>
      </w:pPr>
      <w:r w:rsidRPr="00BA14F9">
        <w:rPr>
          <w:rFonts w:cstheme="minorHAnsi"/>
        </w:rPr>
        <w:t xml:space="preserve">Patient has previously made </w:t>
      </w:r>
      <w:r w:rsidR="000F3187" w:rsidRPr="00BA14F9">
        <w:rPr>
          <w:rFonts w:cstheme="minorHAnsi"/>
        </w:rPr>
        <w:t>sustained and co-ordinated weight loss interventions over a 2 year period but failed to achieve/maintain weight loss</w:t>
      </w:r>
    </w:p>
    <w:p w14:paraId="7C6120C4" w14:textId="0D5E4BE6" w:rsidR="000F3187" w:rsidRPr="00BA14F9" w:rsidRDefault="000F3187" w:rsidP="00BA14F9">
      <w:pPr>
        <w:pStyle w:val="ListParagraph"/>
        <w:numPr>
          <w:ilvl w:val="0"/>
          <w:numId w:val="1"/>
        </w:numPr>
        <w:spacing w:line="360" w:lineRule="auto"/>
        <w:rPr>
          <w:rFonts w:cstheme="minorHAnsi"/>
        </w:rPr>
      </w:pPr>
      <w:r w:rsidRPr="00BA14F9">
        <w:rPr>
          <w:rFonts w:cstheme="minorHAnsi"/>
        </w:rPr>
        <w:t>BMI≥40kg/m</w:t>
      </w:r>
      <w:r w:rsidRPr="00BA14F9">
        <w:rPr>
          <w:rFonts w:cstheme="minorHAnsi"/>
          <w:vertAlign w:val="superscript"/>
        </w:rPr>
        <w:t>2</w:t>
      </w:r>
      <w:r w:rsidRPr="00BA14F9">
        <w:rPr>
          <w:rFonts w:cstheme="minorHAnsi"/>
        </w:rPr>
        <w:t xml:space="preserve"> or BMI≥35kg/</w:t>
      </w:r>
      <w:proofErr w:type="gramStart"/>
      <w:r w:rsidRPr="00BA14F9">
        <w:rPr>
          <w:rFonts w:cstheme="minorHAnsi"/>
        </w:rPr>
        <w:t>m</w:t>
      </w:r>
      <w:r w:rsidRPr="00BA14F9">
        <w:rPr>
          <w:rFonts w:cstheme="minorHAnsi"/>
          <w:vertAlign w:val="superscript"/>
        </w:rPr>
        <w:t>2</w:t>
      </w:r>
      <w:r w:rsidRPr="00BA14F9">
        <w:rPr>
          <w:rFonts w:cstheme="minorHAnsi"/>
        </w:rPr>
        <w:t xml:space="preserve">  and</w:t>
      </w:r>
      <w:proofErr w:type="gramEnd"/>
      <w:r w:rsidRPr="00BA14F9">
        <w:rPr>
          <w:rFonts w:cstheme="minorHAnsi"/>
        </w:rPr>
        <w:t xml:space="preserve"> ass</w:t>
      </w:r>
      <w:r w:rsidR="0095002C" w:rsidRPr="00BA14F9">
        <w:rPr>
          <w:rFonts w:cstheme="minorHAnsi"/>
        </w:rPr>
        <w:t>ociated co-morbidities (</w:t>
      </w:r>
      <w:r w:rsidR="005B139F" w:rsidRPr="00BA14F9">
        <w:rPr>
          <w:rFonts w:cstheme="minorHAnsi"/>
        </w:rPr>
        <w:t>type 2 diabetes</w:t>
      </w:r>
      <w:r w:rsidR="0095002C" w:rsidRPr="00BA14F9">
        <w:rPr>
          <w:rFonts w:cstheme="minorHAnsi"/>
        </w:rPr>
        <w:t>, hypertension</w:t>
      </w:r>
      <w:r w:rsidR="005B139F" w:rsidRPr="00BA14F9">
        <w:rPr>
          <w:rFonts w:cstheme="minorHAnsi"/>
        </w:rPr>
        <w:t>, obstructive sleep apnoea,</w:t>
      </w:r>
      <w:r w:rsidRPr="00BA14F9">
        <w:rPr>
          <w:rFonts w:cstheme="minorHAnsi"/>
        </w:rPr>
        <w:t xml:space="preserve"> </w:t>
      </w:r>
      <w:r w:rsidR="005B139F" w:rsidRPr="00BA14F9">
        <w:rPr>
          <w:rFonts w:cstheme="minorHAnsi"/>
        </w:rPr>
        <w:t>ischaemic heart disease</w:t>
      </w:r>
      <w:r w:rsidRPr="00BA14F9">
        <w:rPr>
          <w:rFonts w:cstheme="minorHAnsi"/>
        </w:rPr>
        <w:t xml:space="preserve">, </w:t>
      </w:r>
      <w:r w:rsidR="005B139F" w:rsidRPr="00BA14F9">
        <w:rPr>
          <w:rFonts w:cstheme="minorHAnsi"/>
        </w:rPr>
        <w:t>idiopathic intracranial hypertension</w:t>
      </w:r>
      <w:r w:rsidR="001A0791">
        <w:rPr>
          <w:rFonts w:cstheme="minorHAnsi"/>
        </w:rPr>
        <w:t xml:space="preserve"> and non-alcoholic </w:t>
      </w:r>
      <w:proofErr w:type="spellStart"/>
      <w:r w:rsidR="001A0791">
        <w:rPr>
          <w:rFonts w:cstheme="minorHAnsi"/>
        </w:rPr>
        <w:t>steatohepatitis</w:t>
      </w:r>
      <w:bookmarkStart w:id="0" w:name="_GoBack"/>
      <w:bookmarkEnd w:id="0"/>
      <w:proofErr w:type="spellEnd"/>
      <w:r w:rsidR="00726AC4">
        <w:rPr>
          <w:rFonts w:cstheme="minorHAnsi"/>
        </w:rPr>
        <w:t>)</w:t>
      </w:r>
    </w:p>
    <w:p w14:paraId="3532FAC3" w14:textId="77777777" w:rsidR="005501F3" w:rsidRPr="00BA14F9" w:rsidRDefault="005501F3" w:rsidP="00BA14F9">
      <w:pPr>
        <w:pStyle w:val="ListParagraph"/>
        <w:numPr>
          <w:ilvl w:val="0"/>
          <w:numId w:val="1"/>
        </w:numPr>
        <w:spacing w:line="360" w:lineRule="auto"/>
        <w:rPr>
          <w:rFonts w:cstheme="minorHAnsi"/>
        </w:rPr>
      </w:pPr>
      <w:r w:rsidRPr="00BA14F9">
        <w:rPr>
          <w:rFonts w:cstheme="minorHAnsi"/>
        </w:rPr>
        <w:t xml:space="preserve">Patient </w:t>
      </w:r>
      <w:r w:rsidR="0003711D" w:rsidRPr="00BA14F9">
        <w:rPr>
          <w:rFonts w:cstheme="minorHAnsi"/>
        </w:rPr>
        <w:t xml:space="preserve">is </w:t>
      </w:r>
      <w:r w:rsidRPr="00BA14F9">
        <w:rPr>
          <w:rFonts w:cstheme="minorHAnsi"/>
        </w:rPr>
        <w:t>able to identify clear reasons for addressing weight</w:t>
      </w:r>
    </w:p>
    <w:p w14:paraId="7FCAD28B" w14:textId="42F75078" w:rsidR="000F3187" w:rsidRDefault="000F3187" w:rsidP="00BA14F9">
      <w:pPr>
        <w:pStyle w:val="ListParagraph"/>
        <w:numPr>
          <w:ilvl w:val="0"/>
          <w:numId w:val="1"/>
        </w:numPr>
        <w:spacing w:line="360" w:lineRule="auto"/>
        <w:rPr>
          <w:rFonts w:cstheme="minorHAnsi"/>
        </w:rPr>
      </w:pPr>
      <w:r w:rsidRPr="00BA14F9">
        <w:rPr>
          <w:rFonts w:cstheme="minorHAnsi"/>
        </w:rPr>
        <w:t xml:space="preserve">Patient </w:t>
      </w:r>
      <w:r w:rsidR="0003711D" w:rsidRPr="00BA14F9">
        <w:rPr>
          <w:rFonts w:cstheme="minorHAnsi"/>
        </w:rPr>
        <w:t xml:space="preserve">is </w:t>
      </w:r>
      <w:r w:rsidRPr="00BA14F9">
        <w:rPr>
          <w:rFonts w:cstheme="minorHAnsi"/>
        </w:rPr>
        <w:t>prepared to engage and willing to enter into a contract of care</w:t>
      </w:r>
      <w:r w:rsidR="00F14862" w:rsidRPr="00BA14F9">
        <w:rPr>
          <w:rFonts w:cstheme="minorHAnsi"/>
        </w:rPr>
        <w:t xml:space="preserve"> outlining responsibilities on both sides and their ability to commit to the programme</w:t>
      </w:r>
    </w:p>
    <w:p w14:paraId="0FAF6B75" w14:textId="77777777" w:rsidR="00364C38" w:rsidRPr="00BA14F9" w:rsidRDefault="00F14862" w:rsidP="00BA14F9">
      <w:pPr>
        <w:spacing w:line="360" w:lineRule="auto"/>
        <w:rPr>
          <w:rFonts w:cstheme="minorHAnsi"/>
        </w:rPr>
      </w:pPr>
      <w:r w:rsidRPr="00BA14F9">
        <w:rPr>
          <w:rFonts w:cstheme="minorHAnsi"/>
        </w:rPr>
        <w:t>Exclusion</w:t>
      </w:r>
    </w:p>
    <w:p w14:paraId="57BA32BB" w14:textId="77777777" w:rsidR="00F14862" w:rsidRPr="00BA14F9" w:rsidRDefault="00364C38" w:rsidP="00BA14F9">
      <w:pPr>
        <w:pStyle w:val="ListParagraph"/>
        <w:numPr>
          <w:ilvl w:val="0"/>
          <w:numId w:val="2"/>
        </w:numPr>
        <w:spacing w:line="360" w:lineRule="auto"/>
        <w:rPr>
          <w:rFonts w:cstheme="minorHAnsi"/>
        </w:rPr>
      </w:pPr>
      <w:r w:rsidRPr="00BA14F9">
        <w:rPr>
          <w:rFonts w:cstheme="minorHAnsi"/>
        </w:rPr>
        <w:t>Significant mental health disorder that would prevent engagement with the service</w:t>
      </w:r>
    </w:p>
    <w:p w14:paraId="1D3917DD" w14:textId="77777777" w:rsidR="00364C38" w:rsidRPr="00BA14F9" w:rsidRDefault="00364C38" w:rsidP="00BA14F9">
      <w:pPr>
        <w:pStyle w:val="ListParagraph"/>
        <w:numPr>
          <w:ilvl w:val="0"/>
          <w:numId w:val="2"/>
        </w:numPr>
        <w:spacing w:line="360" w:lineRule="auto"/>
        <w:rPr>
          <w:rFonts w:cstheme="minorHAnsi"/>
        </w:rPr>
      </w:pPr>
      <w:r w:rsidRPr="00BA14F9">
        <w:rPr>
          <w:rFonts w:cstheme="minorHAnsi"/>
        </w:rPr>
        <w:t xml:space="preserve">Active binge eating disorder </w:t>
      </w:r>
      <w:r w:rsidR="0079461C">
        <w:rPr>
          <w:rFonts w:cstheme="minorHAnsi"/>
        </w:rPr>
        <w:t xml:space="preserve">(BED) </w:t>
      </w:r>
      <w:r w:rsidRPr="00BA14F9">
        <w:rPr>
          <w:rFonts w:cstheme="minorHAnsi"/>
        </w:rPr>
        <w:t>or bulimia nervosa</w:t>
      </w:r>
    </w:p>
    <w:p w14:paraId="32552A4A" w14:textId="77777777" w:rsidR="00364C38" w:rsidRPr="00BA14F9" w:rsidRDefault="00364C38" w:rsidP="00BA14F9">
      <w:pPr>
        <w:pStyle w:val="ListParagraph"/>
        <w:numPr>
          <w:ilvl w:val="0"/>
          <w:numId w:val="2"/>
        </w:numPr>
        <w:spacing w:line="360" w:lineRule="auto"/>
        <w:rPr>
          <w:rFonts w:cstheme="minorHAnsi"/>
        </w:rPr>
      </w:pPr>
      <w:r w:rsidRPr="00BA14F9">
        <w:rPr>
          <w:rFonts w:cstheme="minorHAnsi"/>
        </w:rPr>
        <w:t>Active history of substance/alcohol misuse or dependence</w:t>
      </w:r>
    </w:p>
    <w:p w14:paraId="08442AC8" w14:textId="77777777" w:rsidR="00152D05" w:rsidRPr="00BA14F9" w:rsidRDefault="00152D05" w:rsidP="00BA14F9">
      <w:pPr>
        <w:pStyle w:val="ListParagraph"/>
        <w:numPr>
          <w:ilvl w:val="0"/>
          <w:numId w:val="2"/>
        </w:numPr>
        <w:spacing w:line="360" w:lineRule="auto"/>
        <w:rPr>
          <w:rFonts w:cstheme="minorHAnsi"/>
        </w:rPr>
      </w:pPr>
      <w:r w:rsidRPr="00BA14F9">
        <w:rPr>
          <w:rFonts w:cstheme="minorHAnsi"/>
        </w:rPr>
        <w:t>Pregnancy or planning pregnancy</w:t>
      </w:r>
    </w:p>
    <w:p w14:paraId="3A2A0297" w14:textId="77777777" w:rsidR="00F14862" w:rsidRPr="00BA14F9" w:rsidRDefault="00F14862" w:rsidP="00BA14F9">
      <w:pPr>
        <w:pStyle w:val="ListParagraph"/>
        <w:numPr>
          <w:ilvl w:val="0"/>
          <w:numId w:val="2"/>
        </w:numPr>
        <w:spacing w:line="360" w:lineRule="auto"/>
        <w:rPr>
          <w:rFonts w:cstheme="minorHAnsi"/>
        </w:rPr>
      </w:pPr>
      <w:r w:rsidRPr="00BA14F9">
        <w:rPr>
          <w:rFonts w:cstheme="minorHAnsi"/>
        </w:rPr>
        <w:t>Previous referral within 12 months where they have disengaged from services</w:t>
      </w:r>
      <w:r w:rsidR="0003711D" w:rsidRPr="00BA14F9">
        <w:rPr>
          <w:rFonts w:cstheme="minorHAnsi"/>
        </w:rPr>
        <w:t>.</w:t>
      </w:r>
    </w:p>
    <w:p w14:paraId="64048BB8" w14:textId="574665C6" w:rsidR="005A1462" w:rsidRPr="00BA14F9" w:rsidRDefault="0003711D" w:rsidP="00BA14F9">
      <w:pPr>
        <w:spacing w:line="360" w:lineRule="auto"/>
        <w:rPr>
          <w:rFonts w:eastAsiaTheme="minorEastAsia" w:cstheme="minorHAnsi"/>
          <w:lang w:val="en-US" w:eastAsia="ja-JP"/>
        </w:rPr>
      </w:pPr>
      <w:r w:rsidRPr="00BA14F9">
        <w:rPr>
          <w:rFonts w:cstheme="minorHAnsi"/>
        </w:rPr>
        <w:lastRenderedPageBreak/>
        <w:t>At their initial assessment patients will have a comprehensive assessment by a bariatric physician/</w:t>
      </w:r>
      <w:r w:rsidR="009E7EBA">
        <w:rPr>
          <w:rFonts w:cstheme="minorHAnsi"/>
        </w:rPr>
        <w:t xml:space="preserve"> </w:t>
      </w:r>
      <w:r w:rsidRPr="00BA14F9">
        <w:rPr>
          <w:rFonts w:cstheme="minorHAnsi"/>
        </w:rPr>
        <w:t>surge</w:t>
      </w:r>
      <w:r w:rsidR="00782AF7">
        <w:rPr>
          <w:rFonts w:cstheme="minorHAnsi"/>
        </w:rPr>
        <w:t>on, dietitian and psychologist</w:t>
      </w:r>
      <w:r w:rsidRPr="00BA14F9">
        <w:rPr>
          <w:rFonts w:cstheme="minorHAnsi"/>
        </w:rPr>
        <w:t xml:space="preserve">. </w:t>
      </w:r>
      <w:r w:rsidR="00782AF7">
        <w:rPr>
          <w:rFonts w:cstheme="minorHAnsi"/>
        </w:rPr>
        <w:t xml:space="preserve">During this assessment a thorough weight history will be taken, </w:t>
      </w:r>
      <w:r w:rsidRPr="00BA14F9">
        <w:rPr>
          <w:rFonts w:cstheme="minorHAnsi"/>
        </w:rPr>
        <w:t>detail</w:t>
      </w:r>
      <w:r w:rsidR="00782AF7">
        <w:rPr>
          <w:rFonts w:cstheme="minorHAnsi"/>
        </w:rPr>
        <w:t>ing</w:t>
      </w:r>
      <w:r w:rsidRPr="00BA14F9">
        <w:rPr>
          <w:rFonts w:cstheme="minorHAnsi"/>
        </w:rPr>
        <w:t xml:space="preserve"> previous weight loss attempts, perceived barriers to losing weight as well as reasons behind wanting to lose weight at this point. Information and education will be provided so that he/she </w:t>
      </w:r>
      <w:r w:rsidR="005A1462" w:rsidRPr="00BA14F9">
        <w:rPr>
          <w:rFonts w:cstheme="minorHAnsi"/>
        </w:rPr>
        <w:t xml:space="preserve">has appropriate understanding of the relationship between eating habits and weight aiming to </w:t>
      </w:r>
      <w:r w:rsidR="005A1462" w:rsidRPr="00BA14F9">
        <w:rPr>
          <w:rFonts w:eastAsiaTheme="minorEastAsia" w:cstheme="minorHAnsi"/>
          <w:lang w:val="en-US" w:eastAsia="ja-JP"/>
        </w:rPr>
        <w:t>help him/her understand the necessary changes in eating habits to improve health, and identify risk factors and vulnerabilities so that interventions can be planned to address and improve them</w:t>
      </w:r>
      <w:r w:rsidR="00152D05" w:rsidRPr="00BA14F9">
        <w:rPr>
          <w:rFonts w:eastAsiaTheme="minorEastAsia" w:cstheme="minorHAnsi"/>
          <w:lang w:val="en-US" w:eastAsia="ja-JP"/>
        </w:rPr>
        <w:t>.</w:t>
      </w:r>
    </w:p>
    <w:p w14:paraId="1D70F9C6" w14:textId="77777777" w:rsidR="00A261A4" w:rsidRDefault="00A261A4" w:rsidP="00BA14F9">
      <w:pPr>
        <w:spacing w:after="0" w:line="360" w:lineRule="auto"/>
        <w:rPr>
          <w:rFonts w:eastAsiaTheme="minorEastAsia" w:cstheme="minorHAnsi"/>
          <w:lang w:val="en-US" w:eastAsia="ja-JP"/>
        </w:rPr>
      </w:pPr>
      <w:r>
        <w:rPr>
          <w:rFonts w:eastAsiaTheme="minorEastAsia" w:cstheme="minorHAnsi"/>
          <w:lang w:val="en-US" w:eastAsia="ja-JP"/>
        </w:rPr>
        <w:t>Following the assessment, each patient will be discussed in the multidisciplinary meeting and the most appropriate intervention will be offered depending on individual needs. In the main this will be group work, with individual sessions for select patients where group work would not be suitable.</w:t>
      </w:r>
    </w:p>
    <w:p w14:paraId="122AD1F0" w14:textId="77777777" w:rsidR="00A261A4" w:rsidRDefault="00A261A4" w:rsidP="00BA14F9">
      <w:pPr>
        <w:spacing w:after="0" w:line="360" w:lineRule="auto"/>
        <w:rPr>
          <w:rFonts w:eastAsiaTheme="minorEastAsia" w:cstheme="minorHAnsi"/>
          <w:lang w:val="en-US" w:eastAsia="ja-JP"/>
        </w:rPr>
      </w:pPr>
    </w:p>
    <w:p w14:paraId="42BB51D1" w14:textId="77777777" w:rsidR="009E7EBA" w:rsidRDefault="00A261A4" w:rsidP="00BA14F9">
      <w:pPr>
        <w:spacing w:after="0" w:line="360" w:lineRule="auto"/>
        <w:rPr>
          <w:rFonts w:eastAsiaTheme="minorEastAsia" w:cstheme="minorHAnsi"/>
          <w:lang w:val="en-US" w:eastAsia="ja-JP"/>
        </w:rPr>
      </w:pPr>
      <w:r>
        <w:rPr>
          <w:rFonts w:eastAsiaTheme="minorEastAsia" w:cstheme="minorHAnsi"/>
          <w:lang w:val="en-US" w:eastAsia="ja-JP"/>
        </w:rPr>
        <w:t xml:space="preserve">We will also determine that some patients are currently unsuitable for </w:t>
      </w:r>
      <w:r w:rsidR="0003711D" w:rsidRPr="00BA14F9">
        <w:rPr>
          <w:rFonts w:eastAsiaTheme="minorEastAsia" w:cstheme="minorHAnsi"/>
          <w:lang w:val="en-US" w:eastAsia="ja-JP"/>
        </w:rPr>
        <w:t>WAMS.</w:t>
      </w:r>
      <w:r w:rsidR="005A1462" w:rsidRPr="00BA14F9">
        <w:rPr>
          <w:rFonts w:eastAsiaTheme="minorEastAsia" w:cstheme="minorHAnsi"/>
          <w:lang w:val="en-US" w:eastAsia="ja-JP"/>
        </w:rPr>
        <w:t xml:space="preserve"> </w:t>
      </w:r>
      <w:r w:rsidR="0003711D" w:rsidRPr="00BA14F9">
        <w:rPr>
          <w:rFonts w:eastAsiaTheme="minorEastAsia" w:cstheme="minorHAnsi"/>
          <w:lang w:val="en-US" w:eastAsia="ja-JP"/>
        </w:rPr>
        <w:t xml:space="preserve">Those not suitable for the service (untreated/unstable mental health such as active psychosis, severe anxiety/low mood, suicidal </w:t>
      </w:r>
      <w:proofErr w:type="spellStart"/>
      <w:r w:rsidR="0003711D" w:rsidRPr="00BA14F9">
        <w:rPr>
          <w:rFonts w:eastAsiaTheme="minorEastAsia" w:cstheme="minorHAnsi"/>
          <w:lang w:val="en-US" w:eastAsia="ja-JP"/>
        </w:rPr>
        <w:t>behaviour</w:t>
      </w:r>
      <w:proofErr w:type="spellEnd"/>
      <w:r w:rsidR="0003711D" w:rsidRPr="00BA14F9">
        <w:rPr>
          <w:rFonts w:eastAsiaTheme="minorEastAsia" w:cstheme="minorHAnsi"/>
          <w:lang w:val="en-US" w:eastAsia="ja-JP"/>
        </w:rPr>
        <w:t xml:space="preserve"> or self-harm, active eating disorder either bulimia nervosa or BED or those with current addictions to either alcohol or drugs)</w:t>
      </w:r>
      <w:r w:rsidR="005A1462" w:rsidRPr="00BA14F9">
        <w:rPr>
          <w:rFonts w:eastAsiaTheme="minorEastAsia" w:cstheme="minorHAnsi"/>
          <w:lang w:val="en-US" w:eastAsia="ja-JP"/>
        </w:rPr>
        <w:t xml:space="preserve"> will</w:t>
      </w:r>
      <w:r w:rsidR="0003711D" w:rsidRPr="00BA14F9">
        <w:rPr>
          <w:rFonts w:eastAsiaTheme="minorEastAsia" w:cstheme="minorHAnsi"/>
          <w:lang w:val="en-US" w:eastAsia="ja-JP"/>
        </w:rPr>
        <w:t xml:space="preserve"> require psychological input in their own right which is beyond the scope of our service.</w:t>
      </w:r>
      <w:r w:rsidR="005A1462" w:rsidRPr="00BA14F9">
        <w:rPr>
          <w:rFonts w:eastAsiaTheme="minorEastAsia" w:cstheme="minorHAnsi"/>
          <w:lang w:val="en-US" w:eastAsia="ja-JP"/>
        </w:rPr>
        <w:t xml:space="preserve"> This will mean</w:t>
      </w:r>
      <w:r w:rsidR="00BA14F9">
        <w:rPr>
          <w:rFonts w:eastAsiaTheme="minorEastAsia" w:cstheme="minorHAnsi"/>
          <w:lang w:val="en-US" w:eastAsia="ja-JP"/>
        </w:rPr>
        <w:t xml:space="preserve"> </w:t>
      </w:r>
      <w:r w:rsidR="00726AC4">
        <w:rPr>
          <w:rFonts w:eastAsiaTheme="minorEastAsia" w:cstheme="minorHAnsi"/>
          <w:lang w:val="en-US" w:eastAsia="ja-JP"/>
        </w:rPr>
        <w:t xml:space="preserve">a </w:t>
      </w:r>
      <w:r w:rsidR="005A1462" w:rsidRPr="00BA14F9">
        <w:rPr>
          <w:rFonts w:eastAsiaTheme="minorEastAsia" w:cstheme="minorHAnsi"/>
          <w:lang w:val="en-US" w:eastAsia="ja-JP"/>
        </w:rPr>
        <w:t xml:space="preserve">percentage of patients are discharged after assessment to receive </w:t>
      </w:r>
      <w:r w:rsidR="0079461C">
        <w:rPr>
          <w:rFonts w:eastAsiaTheme="minorEastAsia" w:cstheme="minorHAnsi"/>
          <w:lang w:val="en-US" w:eastAsia="ja-JP"/>
        </w:rPr>
        <w:t xml:space="preserve">a </w:t>
      </w:r>
      <w:r w:rsidR="005A1462" w:rsidRPr="00BA14F9">
        <w:rPr>
          <w:rFonts w:eastAsiaTheme="minorEastAsia" w:cstheme="minorHAnsi"/>
          <w:lang w:val="en-US" w:eastAsia="ja-JP"/>
        </w:rPr>
        <w:t>diffe</w:t>
      </w:r>
      <w:r>
        <w:rPr>
          <w:rFonts w:eastAsiaTheme="minorEastAsia" w:cstheme="minorHAnsi"/>
          <w:lang w:val="en-US" w:eastAsia="ja-JP"/>
        </w:rPr>
        <w:t>rent psychological intervention.</w:t>
      </w:r>
      <w:r w:rsidR="005A1462" w:rsidRPr="00BA14F9">
        <w:rPr>
          <w:rFonts w:eastAsiaTheme="minorEastAsia" w:cstheme="minorHAnsi"/>
          <w:lang w:val="en-US" w:eastAsia="ja-JP"/>
        </w:rPr>
        <w:t xml:space="preserve"> Alternative services will be signposted to the GP if appropriate o</w:t>
      </w:r>
      <w:r w:rsidR="00782AF7">
        <w:rPr>
          <w:rFonts w:eastAsiaTheme="minorEastAsia" w:cstheme="minorHAnsi"/>
          <w:lang w:val="en-US" w:eastAsia="ja-JP"/>
        </w:rPr>
        <w:t xml:space="preserve">r present at this time. </w:t>
      </w:r>
    </w:p>
    <w:p w14:paraId="29885115" w14:textId="77777777" w:rsidR="009E7EBA" w:rsidRDefault="009E7EBA" w:rsidP="00BA14F9">
      <w:pPr>
        <w:spacing w:after="0" w:line="360" w:lineRule="auto"/>
        <w:rPr>
          <w:rFonts w:eastAsiaTheme="minorEastAsia" w:cstheme="minorHAnsi"/>
          <w:lang w:val="en-US" w:eastAsia="ja-JP"/>
        </w:rPr>
      </w:pPr>
    </w:p>
    <w:p w14:paraId="0FC48FB9" w14:textId="273EA68E" w:rsidR="005A1462" w:rsidRDefault="00782AF7" w:rsidP="00BA14F9">
      <w:pPr>
        <w:spacing w:after="0" w:line="360" w:lineRule="auto"/>
        <w:rPr>
          <w:rFonts w:eastAsiaTheme="minorEastAsia" w:cstheme="minorHAnsi"/>
          <w:lang w:val="en-US" w:eastAsia="ja-JP"/>
        </w:rPr>
      </w:pPr>
      <w:r>
        <w:rPr>
          <w:color w:val="000000"/>
        </w:rPr>
        <w:t>At the moment there is a gap in commissioning for p</w:t>
      </w:r>
      <w:r w:rsidR="003F6E9E">
        <w:rPr>
          <w:color w:val="000000"/>
        </w:rPr>
        <w:t>atients with b</w:t>
      </w:r>
      <w:r>
        <w:rPr>
          <w:color w:val="000000"/>
        </w:rPr>
        <w:t>inge eating disorder. These patients require a completely different pathway to manage their binge eating which we are not currently funded to provide. Many of these patients have concurrent problems with low mood/anxiety and may benefit from referred to Bristol Wellbeing Services, Positive Steps or South Gloucestershire Talking Therapies</w:t>
      </w:r>
      <w:r w:rsidR="003F6E9E">
        <w:rPr>
          <w:color w:val="000000"/>
        </w:rPr>
        <w:t>. We also recommend </w:t>
      </w:r>
      <w:r>
        <w:rPr>
          <w:color w:val="000000"/>
        </w:rPr>
        <w:t>that they read ‘Overcoming Binge Eating’ (2</w:t>
      </w:r>
      <w:r>
        <w:rPr>
          <w:color w:val="000000"/>
          <w:vertAlign w:val="superscript"/>
        </w:rPr>
        <w:t>nd</w:t>
      </w:r>
      <w:r>
        <w:rPr>
          <w:color w:val="000000"/>
        </w:rPr>
        <w:t xml:space="preserve"> edition) by Dr Christopher Fairburn.  It is a self-help guide for those who engage in Binge Eating which offers practical strategies for overcoming binge eating. </w:t>
      </w:r>
      <w:r w:rsidR="00152D05" w:rsidRPr="00BA14F9">
        <w:rPr>
          <w:rFonts w:eastAsiaTheme="minorEastAsia" w:cstheme="minorHAnsi"/>
          <w:lang w:val="en-US" w:eastAsia="ja-JP"/>
        </w:rPr>
        <w:t xml:space="preserve"> </w:t>
      </w:r>
    </w:p>
    <w:p w14:paraId="02CA7424" w14:textId="77777777" w:rsidR="00C81348" w:rsidRDefault="00C81348" w:rsidP="00BA14F9">
      <w:pPr>
        <w:spacing w:after="0" w:line="360" w:lineRule="auto"/>
        <w:rPr>
          <w:rFonts w:eastAsiaTheme="minorEastAsia" w:cstheme="minorHAnsi"/>
          <w:lang w:val="en-US" w:eastAsia="ja-JP"/>
        </w:rPr>
      </w:pPr>
    </w:p>
    <w:p w14:paraId="5705CC6E" w14:textId="77777777" w:rsidR="00152D05" w:rsidRPr="00BA14F9" w:rsidRDefault="00152D05" w:rsidP="00BA14F9">
      <w:pPr>
        <w:spacing w:line="360" w:lineRule="auto"/>
        <w:rPr>
          <w:rFonts w:cstheme="minorHAnsi"/>
        </w:rPr>
      </w:pPr>
      <w:r w:rsidRPr="00BA14F9">
        <w:rPr>
          <w:rFonts w:cstheme="minorHAnsi"/>
        </w:rPr>
        <w:t>If you feel a patient is appropriate for the service and patient is keen to receive input from the team, please complete the referral form and include results of pre-asses</w:t>
      </w:r>
      <w:r w:rsidR="00726AC4">
        <w:rPr>
          <w:rFonts w:cstheme="minorHAnsi"/>
        </w:rPr>
        <w:t>sment blood test results using the e-referral service</w:t>
      </w:r>
      <w:r w:rsidRPr="00BA14F9">
        <w:rPr>
          <w:rFonts w:cstheme="minorHAnsi"/>
        </w:rPr>
        <w:t>. If incomplete the referral will be rejected.</w:t>
      </w:r>
    </w:p>
    <w:p w14:paraId="14807061" w14:textId="77777777" w:rsidR="0003711D" w:rsidRPr="00BA14F9" w:rsidRDefault="0003711D" w:rsidP="00BA14F9">
      <w:pPr>
        <w:spacing w:after="0" w:line="360" w:lineRule="auto"/>
        <w:ind w:left="720"/>
        <w:rPr>
          <w:rFonts w:cstheme="minorHAnsi"/>
        </w:rPr>
      </w:pPr>
    </w:p>
    <w:sectPr w:rsidR="0003711D" w:rsidRPr="00BA14F9" w:rsidSect="009E7EBA">
      <w:pgSz w:w="11906" w:h="16838"/>
      <w:pgMar w:top="130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69D"/>
    <w:multiLevelType w:val="hybridMultilevel"/>
    <w:tmpl w:val="FBEC4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9E22CA"/>
    <w:multiLevelType w:val="hybridMultilevel"/>
    <w:tmpl w:val="9C283FE0"/>
    <w:lvl w:ilvl="0" w:tplc="350E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D770B"/>
    <w:multiLevelType w:val="hybridMultilevel"/>
    <w:tmpl w:val="4D18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822B2"/>
    <w:multiLevelType w:val="hybridMultilevel"/>
    <w:tmpl w:val="7D2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7269E"/>
    <w:multiLevelType w:val="hybridMultilevel"/>
    <w:tmpl w:val="7CF07328"/>
    <w:lvl w:ilvl="0" w:tplc="350EE1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E83DBC"/>
    <w:multiLevelType w:val="hybridMultilevel"/>
    <w:tmpl w:val="3D9AA374"/>
    <w:lvl w:ilvl="0" w:tplc="350EE1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A26EAD"/>
    <w:multiLevelType w:val="hybridMultilevel"/>
    <w:tmpl w:val="7E32E52A"/>
    <w:lvl w:ilvl="0" w:tplc="350EE1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B302CB"/>
    <w:multiLevelType w:val="hybridMultilevel"/>
    <w:tmpl w:val="C90A3772"/>
    <w:lvl w:ilvl="0" w:tplc="350E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C651A"/>
    <w:multiLevelType w:val="hybridMultilevel"/>
    <w:tmpl w:val="ACB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91A64"/>
    <w:multiLevelType w:val="hybridMultilevel"/>
    <w:tmpl w:val="46A6D6D6"/>
    <w:lvl w:ilvl="0" w:tplc="350EE1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DC6F2C"/>
    <w:multiLevelType w:val="hybridMultilevel"/>
    <w:tmpl w:val="079C3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042BFF"/>
    <w:multiLevelType w:val="hybridMultilevel"/>
    <w:tmpl w:val="364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D68BF"/>
    <w:multiLevelType w:val="hybridMultilevel"/>
    <w:tmpl w:val="4E6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0633D"/>
    <w:multiLevelType w:val="hybridMultilevel"/>
    <w:tmpl w:val="CA54A8D4"/>
    <w:lvl w:ilvl="0" w:tplc="350EE1A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0D7258"/>
    <w:multiLevelType w:val="hybridMultilevel"/>
    <w:tmpl w:val="BD4EF3C4"/>
    <w:lvl w:ilvl="0" w:tplc="350E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8"/>
  </w:num>
  <w:num w:numId="5">
    <w:abstractNumId w:val="0"/>
  </w:num>
  <w:num w:numId="6">
    <w:abstractNumId w:val="6"/>
  </w:num>
  <w:num w:numId="7">
    <w:abstractNumId w:val="9"/>
  </w:num>
  <w:num w:numId="8">
    <w:abstractNumId w:val="7"/>
  </w:num>
  <w:num w:numId="9">
    <w:abstractNumId w:val="1"/>
  </w:num>
  <w:num w:numId="10">
    <w:abstractNumId w:val="13"/>
  </w:num>
  <w:num w:numId="11">
    <w:abstractNumId w:val="5"/>
  </w:num>
  <w:num w:numId="12">
    <w:abstractNumId w:val="14"/>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87"/>
    <w:rsid w:val="0003711D"/>
    <w:rsid w:val="000D0BDF"/>
    <w:rsid w:val="000F3187"/>
    <w:rsid w:val="00152D05"/>
    <w:rsid w:val="001A0791"/>
    <w:rsid w:val="002F500C"/>
    <w:rsid w:val="00300F3E"/>
    <w:rsid w:val="00340890"/>
    <w:rsid w:val="00364C38"/>
    <w:rsid w:val="003D09A9"/>
    <w:rsid w:val="003F6E9E"/>
    <w:rsid w:val="00472E0C"/>
    <w:rsid w:val="004C5287"/>
    <w:rsid w:val="004E0889"/>
    <w:rsid w:val="00525482"/>
    <w:rsid w:val="005501F3"/>
    <w:rsid w:val="005A1462"/>
    <w:rsid w:val="005B139F"/>
    <w:rsid w:val="00683B52"/>
    <w:rsid w:val="00726AC4"/>
    <w:rsid w:val="00782AF7"/>
    <w:rsid w:val="0079461C"/>
    <w:rsid w:val="007F1C2B"/>
    <w:rsid w:val="00887C93"/>
    <w:rsid w:val="008E78AF"/>
    <w:rsid w:val="00900694"/>
    <w:rsid w:val="0095002C"/>
    <w:rsid w:val="00995011"/>
    <w:rsid w:val="009E7EBA"/>
    <w:rsid w:val="00A261A4"/>
    <w:rsid w:val="00A72DAE"/>
    <w:rsid w:val="00BA14F9"/>
    <w:rsid w:val="00C31D31"/>
    <w:rsid w:val="00C738A2"/>
    <w:rsid w:val="00C81348"/>
    <w:rsid w:val="00D6161F"/>
    <w:rsid w:val="00F14862"/>
    <w:rsid w:val="00FA25A4"/>
    <w:rsid w:val="00FF0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B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87"/>
    <w:pPr>
      <w:ind w:left="720"/>
      <w:contextualSpacing/>
    </w:pPr>
  </w:style>
  <w:style w:type="paragraph" w:styleId="BalloonText">
    <w:name w:val="Balloon Text"/>
    <w:basedOn w:val="Normal"/>
    <w:link w:val="BalloonTextChar"/>
    <w:uiPriority w:val="99"/>
    <w:semiHidden/>
    <w:unhideWhenUsed/>
    <w:rsid w:val="000D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DF"/>
    <w:rPr>
      <w:rFonts w:ascii="Tahoma" w:hAnsi="Tahoma" w:cs="Tahoma"/>
      <w:sz w:val="16"/>
      <w:szCs w:val="16"/>
    </w:rPr>
  </w:style>
  <w:style w:type="character" w:styleId="CommentReference">
    <w:name w:val="annotation reference"/>
    <w:basedOn w:val="DefaultParagraphFont"/>
    <w:uiPriority w:val="99"/>
    <w:semiHidden/>
    <w:unhideWhenUsed/>
    <w:rsid w:val="00525482"/>
    <w:rPr>
      <w:sz w:val="16"/>
      <w:szCs w:val="16"/>
    </w:rPr>
  </w:style>
  <w:style w:type="paragraph" w:styleId="CommentText">
    <w:name w:val="annotation text"/>
    <w:basedOn w:val="Normal"/>
    <w:link w:val="CommentTextChar"/>
    <w:uiPriority w:val="99"/>
    <w:semiHidden/>
    <w:unhideWhenUsed/>
    <w:rsid w:val="00525482"/>
    <w:pPr>
      <w:spacing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525482"/>
    <w:rPr>
      <w:rFonts w:eastAsiaTheme="minorEastAsia"/>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87"/>
    <w:pPr>
      <w:ind w:left="720"/>
      <w:contextualSpacing/>
    </w:pPr>
  </w:style>
  <w:style w:type="paragraph" w:styleId="BalloonText">
    <w:name w:val="Balloon Text"/>
    <w:basedOn w:val="Normal"/>
    <w:link w:val="BalloonTextChar"/>
    <w:uiPriority w:val="99"/>
    <w:semiHidden/>
    <w:unhideWhenUsed/>
    <w:rsid w:val="000D0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DF"/>
    <w:rPr>
      <w:rFonts w:ascii="Tahoma" w:hAnsi="Tahoma" w:cs="Tahoma"/>
      <w:sz w:val="16"/>
      <w:szCs w:val="16"/>
    </w:rPr>
  </w:style>
  <w:style w:type="character" w:styleId="CommentReference">
    <w:name w:val="annotation reference"/>
    <w:basedOn w:val="DefaultParagraphFont"/>
    <w:uiPriority w:val="99"/>
    <w:semiHidden/>
    <w:unhideWhenUsed/>
    <w:rsid w:val="00525482"/>
    <w:rPr>
      <w:sz w:val="16"/>
      <w:szCs w:val="16"/>
    </w:rPr>
  </w:style>
  <w:style w:type="paragraph" w:styleId="CommentText">
    <w:name w:val="annotation text"/>
    <w:basedOn w:val="Normal"/>
    <w:link w:val="CommentTextChar"/>
    <w:uiPriority w:val="99"/>
    <w:semiHidden/>
    <w:unhideWhenUsed/>
    <w:rsid w:val="00525482"/>
    <w:pPr>
      <w:spacing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semiHidden/>
    <w:rsid w:val="00525482"/>
    <w:rPr>
      <w:rFonts w:eastAsiaTheme="minorEastAsia"/>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665</Words>
  <Characters>3793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Young</cp:lastModifiedBy>
  <cp:revision>6</cp:revision>
  <cp:lastPrinted>2018-06-25T10:19:00Z</cp:lastPrinted>
  <dcterms:created xsi:type="dcterms:W3CDTF">2018-08-02T06:37:00Z</dcterms:created>
  <dcterms:modified xsi:type="dcterms:W3CDTF">2019-03-03T16:16:00Z</dcterms:modified>
</cp:coreProperties>
</file>